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3" w:rsidRPr="003561CE" w:rsidRDefault="00BF2123" w:rsidP="00BF2123">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14:anchorId="200F0416" wp14:editId="7B1C7410">
            <wp:simplePos x="0" y="0"/>
            <wp:positionH relativeFrom="column">
              <wp:posOffset>2743200</wp:posOffset>
            </wp:positionH>
            <wp:positionV relativeFrom="paragraph">
              <wp:posOffset>-114300</wp:posOffset>
            </wp:positionV>
            <wp:extent cx="410210" cy="511810"/>
            <wp:effectExtent l="0" t="0" r="8890" b="2540"/>
            <wp:wrapNone/>
            <wp:docPr id="1" name="Рисунок 1"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p>
    <w:p w:rsidR="00BF2123" w:rsidRPr="003561CE" w:rsidRDefault="00BF2123" w:rsidP="00BF2123">
      <w:pPr>
        <w:spacing w:after="0" w:line="240" w:lineRule="auto"/>
        <w:jc w:val="center"/>
        <w:rPr>
          <w:rFonts w:ascii="Times New Roman" w:hAnsi="Times New Roman"/>
          <w:b/>
          <w:sz w:val="28"/>
          <w:szCs w:val="28"/>
        </w:rPr>
      </w:pPr>
    </w:p>
    <w:p w:rsidR="00BF2123" w:rsidRPr="003561CE" w:rsidRDefault="00BF2123" w:rsidP="00BF2123">
      <w:pPr>
        <w:spacing w:after="0" w:line="240" w:lineRule="auto"/>
        <w:jc w:val="center"/>
        <w:rPr>
          <w:rFonts w:ascii="Times New Roman" w:hAnsi="Times New Roman"/>
          <w:b/>
          <w:sz w:val="28"/>
          <w:szCs w:val="28"/>
        </w:rPr>
      </w:pPr>
    </w:p>
    <w:p w:rsidR="00BF2123" w:rsidRPr="003561CE" w:rsidRDefault="00BF2123" w:rsidP="00BF2123">
      <w:pPr>
        <w:pBdr>
          <w:bottom w:val="single" w:sz="4" w:space="1" w:color="0000FF"/>
        </w:pBdr>
        <w:spacing w:after="0" w:line="240" w:lineRule="auto"/>
        <w:jc w:val="center"/>
        <w:rPr>
          <w:rFonts w:ascii="Times New Roman" w:hAnsi="Times New Roman"/>
          <w:b/>
          <w:color w:val="0000FF"/>
          <w:sz w:val="28"/>
          <w:szCs w:val="28"/>
        </w:rPr>
      </w:pPr>
      <w:r w:rsidRPr="003561CE">
        <w:rPr>
          <w:rFonts w:ascii="Times New Roman" w:hAnsi="Times New Roman"/>
          <w:b/>
          <w:color w:val="0000FF"/>
          <w:sz w:val="28"/>
          <w:szCs w:val="28"/>
        </w:rPr>
        <w:t>КОНТРОЛЬНО-СЧЕТНАЯ ПАЛАТА АМУРСКОЙ ОБЛАСТИ</w:t>
      </w:r>
    </w:p>
    <w:p w:rsidR="00BF2123" w:rsidRPr="003561CE" w:rsidRDefault="00BF2123" w:rsidP="00BF2123">
      <w:pPr>
        <w:spacing w:after="0" w:line="240" w:lineRule="auto"/>
        <w:jc w:val="center"/>
        <w:rPr>
          <w:rFonts w:ascii="Times New Roman" w:hAnsi="Times New Roman"/>
          <w:color w:val="0000FF"/>
          <w:sz w:val="20"/>
          <w:szCs w:val="28"/>
        </w:rPr>
      </w:pPr>
      <w:r w:rsidRPr="003561CE">
        <w:rPr>
          <w:rFonts w:ascii="Times New Roman" w:hAnsi="Times New Roman"/>
          <w:color w:val="0000FF"/>
          <w:sz w:val="20"/>
          <w:szCs w:val="28"/>
        </w:rPr>
        <w:t xml:space="preserve">ул. Ленина, </w:t>
      </w:r>
      <w:smartTag w:uri="urn:schemas-microsoft-com:office:smarttags" w:element="metricconverter">
        <w:smartTagPr>
          <w:attr w:name="ProductID" w:val="135, г"/>
        </w:smartTagPr>
        <w:r w:rsidRPr="003561CE">
          <w:rPr>
            <w:rFonts w:ascii="Times New Roman" w:hAnsi="Times New Roman"/>
            <w:color w:val="0000FF"/>
            <w:sz w:val="20"/>
            <w:szCs w:val="28"/>
          </w:rPr>
          <w:t>135, г</w:t>
        </w:r>
      </w:smartTag>
      <w:r w:rsidRPr="003561CE">
        <w:rPr>
          <w:rFonts w:ascii="Times New Roman" w:hAnsi="Times New Roman"/>
          <w:color w:val="0000FF"/>
          <w:sz w:val="20"/>
          <w:szCs w:val="28"/>
        </w:rPr>
        <w:t>. Благовещенск, Амурской обл., 675023,  тел./факс (4162) 22-44-70, 22-44-86,</w:t>
      </w:r>
    </w:p>
    <w:p w:rsidR="00BF2123" w:rsidRPr="003561CE" w:rsidRDefault="00BF2123" w:rsidP="00BF2123">
      <w:pPr>
        <w:spacing w:after="0" w:line="240" w:lineRule="auto"/>
        <w:jc w:val="center"/>
        <w:rPr>
          <w:rFonts w:ascii="Times New Roman" w:hAnsi="Times New Roman"/>
          <w:color w:val="0000FF"/>
          <w:sz w:val="28"/>
          <w:szCs w:val="28"/>
          <w:u w:val="single"/>
          <w:lang w:val="en-US"/>
        </w:rPr>
      </w:pPr>
      <w:r w:rsidRPr="003561CE">
        <w:rPr>
          <w:rFonts w:ascii="Times New Roman" w:hAnsi="Times New Roman"/>
          <w:color w:val="0000FF"/>
          <w:sz w:val="20"/>
          <w:szCs w:val="28"/>
        </w:rPr>
        <w:t xml:space="preserve"> </w:t>
      </w:r>
      <w:r w:rsidRPr="003561CE">
        <w:rPr>
          <w:rFonts w:ascii="Times New Roman" w:hAnsi="Times New Roman"/>
          <w:color w:val="0000FF"/>
          <w:sz w:val="20"/>
          <w:szCs w:val="28"/>
          <w:lang w:val="en-US"/>
        </w:rPr>
        <w:t xml:space="preserve">E-mail: </w:t>
      </w:r>
      <w:hyperlink r:id="rId10" w:history="1">
        <w:r w:rsidRPr="003561CE">
          <w:rPr>
            <w:rStyle w:val="a3"/>
            <w:rFonts w:ascii="Times New Roman" w:hAnsi="Times New Roman"/>
            <w:sz w:val="20"/>
            <w:szCs w:val="28"/>
            <w:lang w:val="en-US"/>
          </w:rPr>
          <w:t>kspamur@tsl.ru</w:t>
        </w:r>
      </w:hyperlink>
    </w:p>
    <w:p w:rsidR="00BF2123" w:rsidRPr="009C43F5" w:rsidRDefault="00BF2123" w:rsidP="00BF2123">
      <w:pPr>
        <w:spacing w:after="0" w:line="240" w:lineRule="auto"/>
        <w:jc w:val="center"/>
        <w:rPr>
          <w:rFonts w:ascii="Times New Roman" w:hAnsi="Times New Roman"/>
          <w:sz w:val="28"/>
          <w:szCs w:val="28"/>
          <w:u w:val="single"/>
          <w:lang w:val="en-US"/>
        </w:rPr>
      </w:pPr>
    </w:p>
    <w:p w:rsidR="00107999" w:rsidRPr="009C43F5" w:rsidRDefault="00107999" w:rsidP="00BF2123">
      <w:pPr>
        <w:spacing w:after="0" w:line="240" w:lineRule="auto"/>
        <w:jc w:val="center"/>
        <w:rPr>
          <w:rFonts w:ascii="Times New Roman" w:hAnsi="Times New Roman"/>
          <w:sz w:val="28"/>
          <w:szCs w:val="28"/>
          <w:u w:val="single"/>
          <w:lang w:val="en-US"/>
        </w:rPr>
      </w:pPr>
    </w:p>
    <w:p w:rsidR="00BF2123" w:rsidRPr="0064325F" w:rsidRDefault="00BF2123" w:rsidP="00BF2123">
      <w:pPr>
        <w:spacing w:after="0" w:line="240" w:lineRule="auto"/>
        <w:jc w:val="center"/>
        <w:rPr>
          <w:rFonts w:ascii="Times New Roman" w:hAnsi="Times New Roman"/>
          <w:b/>
          <w:sz w:val="28"/>
          <w:szCs w:val="28"/>
          <w:lang w:val="en-US"/>
        </w:rPr>
      </w:pPr>
      <w:r w:rsidRPr="00AF28A8">
        <w:rPr>
          <w:rFonts w:ascii="Times New Roman" w:hAnsi="Times New Roman"/>
          <w:b/>
          <w:sz w:val="28"/>
          <w:szCs w:val="28"/>
        </w:rPr>
        <w:t>ЗАКЛЮЧЕНИЕ</w:t>
      </w:r>
    </w:p>
    <w:p w:rsidR="00BF2123" w:rsidRPr="00AF28A8" w:rsidRDefault="00BF2123" w:rsidP="00BF2123">
      <w:pPr>
        <w:spacing w:after="0" w:line="240" w:lineRule="auto"/>
        <w:jc w:val="center"/>
        <w:rPr>
          <w:rFonts w:ascii="Times New Roman" w:hAnsi="Times New Roman"/>
          <w:b/>
          <w:sz w:val="28"/>
          <w:szCs w:val="28"/>
        </w:rPr>
      </w:pPr>
      <w:r w:rsidRPr="00AF28A8">
        <w:rPr>
          <w:rFonts w:ascii="Times New Roman" w:hAnsi="Times New Roman"/>
          <w:b/>
          <w:sz w:val="28"/>
          <w:szCs w:val="28"/>
        </w:rPr>
        <w:t>на проект закона Амурской области «Об областном бюджете на 201</w:t>
      </w:r>
      <w:r>
        <w:rPr>
          <w:rFonts w:ascii="Times New Roman" w:hAnsi="Times New Roman"/>
          <w:b/>
          <w:sz w:val="28"/>
          <w:szCs w:val="28"/>
        </w:rPr>
        <w:t>8 год и плановый период 2019 и 2020 годов</w:t>
      </w:r>
      <w:r w:rsidRPr="00AF28A8">
        <w:rPr>
          <w:rFonts w:ascii="Times New Roman" w:hAnsi="Times New Roman"/>
          <w:b/>
          <w:sz w:val="28"/>
          <w:szCs w:val="28"/>
        </w:rPr>
        <w:t>» (первое чтение)</w:t>
      </w:r>
    </w:p>
    <w:p w:rsidR="00BF2123" w:rsidRDefault="00BF2123" w:rsidP="00BF2123">
      <w:pPr>
        <w:spacing w:after="0" w:line="240" w:lineRule="auto"/>
        <w:jc w:val="center"/>
        <w:rPr>
          <w:rFonts w:ascii="Times New Roman" w:hAnsi="Times New Roman"/>
          <w:b/>
          <w:sz w:val="28"/>
          <w:szCs w:val="28"/>
        </w:rPr>
      </w:pPr>
    </w:p>
    <w:p w:rsidR="00107999" w:rsidRPr="00AF28A8" w:rsidRDefault="00107999" w:rsidP="00BF2123">
      <w:pPr>
        <w:spacing w:after="0" w:line="240" w:lineRule="auto"/>
        <w:jc w:val="center"/>
        <w:rPr>
          <w:rFonts w:ascii="Times New Roman" w:hAnsi="Times New Roman"/>
          <w:b/>
          <w:sz w:val="28"/>
          <w:szCs w:val="28"/>
        </w:rPr>
      </w:pPr>
    </w:p>
    <w:p w:rsidR="00BF2123" w:rsidRPr="00AF28A8" w:rsidRDefault="00BF2123" w:rsidP="00107999">
      <w:pPr>
        <w:widowControl w:val="0"/>
        <w:spacing w:after="0" w:line="288" w:lineRule="auto"/>
        <w:ind w:firstLine="709"/>
        <w:jc w:val="both"/>
        <w:rPr>
          <w:rFonts w:ascii="Times New Roman" w:hAnsi="Times New Roman"/>
          <w:sz w:val="24"/>
          <w:szCs w:val="24"/>
        </w:rPr>
      </w:pPr>
      <w:r w:rsidRPr="00AF28A8">
        <w:rPr>
          <w:rFonts w:ascii="Times New Roman" w:hAnsi="Times New Roman"/>
          <w:sz w:val="24"/>
          <w:szCs w:val="24"/>
        </w:rPr>
        <w:t>Заключение контрольно-счетной палаты Амурской области на проект закона Амурской области «Об областном бюджете на 201</w:t>
      </w:r>
      <w:r>
        <w:rPr>
          <w:rFonts w:ascii="Times New Roman" w:hAnsi="Times New Roman"/>
          <w:sz w:val="24"/>
          <w:szCs w:val="24"/>
        </w:rPr>
        <w:t xml:space="preserve">8 год и плановый период 2019 и </w:t>
      </w:r>
      <w:r>
        <w:rPr>
          <w:rFonts w:ascii="Times New Roman" w:hAnsi="Times New Roman"/>
          <w:sz w:val="24"/>
          <w:szCs w:val="24"/>
        </w:rPr>
        <w:br/>
        <w:t>2020</w:t>
      </w:r>
      <w:r w:rsidRPr="00AF28A8">
        <w:rPr>
          <w:rFonts w:ascii="Times New Roman" w:hAnsi="Times New Roman"/>
          <w:sz w:val="24"/>
          <w:szCs w:val="24"/>
        </w:rPr>
        <w:t xml:space="preserve"> год</w:t>
      </w:r>
      <w:r>
        <w:rPr>
          <w:rFonts w:ascii="Times New Roman" w:hAnsi="Times New Roman"/>
          <w:sz w:val="24"/>
          <w:szCs w:val="24"/>
        </w:rPr>
        <w:t>ов</w:t>
      </w:r>
      <w:r w:rsidRPr="00AF28A8">
        <w:rPr>
          <w:rFonts w:ascii="Times New Roman" w:hAnsi="Times New Roman"/>
          <w:sz w:val="24"/>
          <w:szCs w:val="24"/>
        </w:rPr>
        <w:t>» (далее – Заключение) подготовлено в соответствии с Бюджетным кодексом Российской Федерации, Законом Амурской области «О бюджетном процессе в Амурской области», Законом Амурской области «О контрольно-счетной палате Амурской области», иными актами законодательства Российской Федерации и Амурской области.</w:t>
      </w:r>
    </w:p>
    <w:p w:rsidR="00BF2123" w:rsidRPr="00AF28A8" w:rsidRDefault="00BF2123" w:rsidP="00107999">
      <w:pPr>
        <w:spacing w:after="0" w:line="288" w:lineRule="auto"/>
        <w:ind w:firstLine="709"/>
        <w:jc w:val="both"/>
        <w:rPr>
          <w:rFonts w:ascii="Times New Roman" w:hAnsi="Times New Roman"/>
          <w:bCs/>
          <w:sz w:val="24"/>
          <w:szCs w:val="24"/>
        </w:rPr>
      </w:pPr>
      <w:r w:rsidRPr="00AF28A8">
        <w:rPr>
          <w:rFonts w:ascii="Times New Roman" w:hAnsi="Times New Roman"/>
          <w:bCs/>
          <w:sz w:val="24"/>
          <w:szCs w:val="24"/>
        </w:rPr>
        <w:t>Заключение основывается на проведенном анализе показателей прогноза социально-экономического развития Амурской области на 201</w:t>
      </w:r>
      <w:r>
        <w:rPr>
          <w:rFonts w:ascii="Times New Roman" w:hAnsi="Times New Roman"/>
          <w:bCs/>
          <w:sz w:val="24"/>
          <w:szCs w:val="24"/>
        </w:rPr>
        <w:t>8</w:t>
      </w:r>
      <w:r w:rsidRPr="00AF28A8">
        <w:rPr>
          <w:rFonts w:ascii="Times New Roman" w:hAnsi="Times New Roman"/>
          <w:bCs/>
          <w:sz w:val="24"/>
          <w:szCs w:val="24"/>
        </w:rPr>
        <w:t xml:space="preserve"> год и </w:t>
      </w:r>
      <w:r>
        <w:rPr>
          <w:rFonts w:ascii="Times New Roman" w:hAnsi="Times New Roman"/>
          <w:bCs/>
          <w:sz w:val="24"/>
          <w:szCs w:val="24"/>
        </w:rPr>
        <w:t xml:space="preserve">на период до 2020 </w:t>
      </w:r>
      <w:r w:rsidRPr="00EA0DDD">
        <w:rPr>
          <w:rFonts w:ascii="Times New Roman" w:hAnsi="Times New Roman"/>
          <w:bCs/>
          <w:sz w:val="24"/>
          <w:szCs w:val="24"/>
        </w:rPr>
        <w:t>год</w:t>
      </w:r>
      <w:r>
        <w:rPr>
          <w:rFonts w:ascii="Times New Roman" w:hAnsi="Times New Roman"/>
          <w:bCs/>
          <w:sz w:val="24"/>
          <w:szCs w:val="24"/>
        </w:rPr>
        <w:t>а</w:t>
      </w:r>
      <w:r w:rsidRPr="00EA0DDD">
        <w:rPr>
          <w:rFonts w:ascii="Times New Roman" w:hAnsi="Times New Roman"/>
          <w:bCs/>
          <w:sz w:val="24"/>
          <w:szCs w:val="24"/>
        </w:rPr>
        <w:t xml:space="preserve">, предварительных итогов социально-экономического развития области за январь-август </w:t>
      </w:r>
      <w:r>
        <w:rPr>
          <w:rFonts w:ascii="Times New Roman" w:hAnsi="Times New Roman"/>
          <w:bCs/>
          <w:sz w:val="24"/>
          <w:szCs w:val="24"/>
        </w:rPr>
        <w:br/>
      </w:r>
      <w:r w:rsidRPr="00EA0DDD">
        <w:rPr>
          <w:rFonts w:ascii="Times New Roman" w:hAnsi="Times New Roman"/>
          <w:bCs/>
          <w:sz w:val="24"/>
          <w:szCs w:val="24"/>
        </w:rPr>
        <w:t>201</w:t>
      </w:r>
      <w:r>
        <w:rPr>
          <w:rFonts w:ascii="Times New Roman" w:hAnsi="Times New Roman"/>
          <w:bCs/>
          <w:sz w:val="24"/>
          <w:szCs w:val="24"/>
        </w:rPr>
        <w:t>7</w:t>
      </w:r>
      <w:r w:rsidRPr="00EA0DDD">
        <w:rPr>
          <w:rFonts w:ascii="Times New Roman" w:hAnsi="Times New Roman"/>
          <w:bCs/>
          <w:sz w:val="24"/>
          <w:szCs w:val="24"/>
        </w:rPr>
        <w:t xml:space="preserve"> года и ожидаемых итогов социально-экономического развития области за 201</w:t>
      </w:r>
      <w:r>
        <w:rPr>
          <w:rFonts w:ascii="Times New Roman" w:hAnsi="Times New Roman"/>
          <w:bCs/>
          <w:sz w:val="24"/>
          <w:szCs w:val="24"/>
        </w:rPr>
        <w:t>7</w:t>
      </w:r>
      <w:r w:rsidRPr="00EA0DDD">
        <w:rPr>
          <w:rFonts w:ascii="Times New Roman" w:hAnsi="Times New Roman"/>
          <w:bCs/>
          <w:sz w:val="24"/>
          <w:szCs w:val="24"/>
        </w:rPr>
        <w:t xml:space="preserve"> год, основных направлений налоговой</w:t>
      </w:r>
      <w:r>
        <w:rPr>
          <w:rFonts w:ascii="Times New Roman" w:hAnsi="Times New Roman"/>
          <w:bCs/>
          <w:sz w:val="24"/>
          <w:szCs w:val="24"/>
        </w:rPr>
        <w:t>,</w:t>
      </w:r>
      <w:r w:rsidRPr="00EA0DDD">
        <w:rPr>
          <w:rFonts w:ascii="Times New Roman" w:hAnsi="Times New Roman"/>
          <w:bCs/>
          <w:sz w:val="24"/>
          <w:szCs w:val="24"/>
        </w:rPr>
        <w:t xml:space="preserve"> бюджетной и </w:t>
      </w:r>
      <w:r>
        <w:rPr>
          <w:rFonts w:ascii="Times New Roman" w:hAnsi="Times New Roman"/>
          <w:bCs/>
          <w:sz w:val="24"/>
          <w:szCs w:val="24"/>
        </w:rPr>
        <w:t xml:space="preserve">долговой </w:t>
      </w:r>
      <w:r w:rsidRPr="00EA0DDD">
        <w:rPr>
          <w:rFonts w:ascii="Times New Roman" w:hAnsi="Times New Roman"/>
          <w:bCs/>
          <w:sz w:val="24"/>
          <w:szCs w:val="24"/>
        </w:rPr>
        <w:t xml:space="preserve">политики </w:t>
      </w:r>
      <w:r>
        <w:rPr>
          <w:rFonts w:ascii="Times New Roman" w:hAnsi="Times New Roman"/>
          <w:bCs/>
          <w:sz w:val="24"/>
          <w:szCs w:val="24"/>
        </w:rPr>
        <w:t xml:space="preserve">области </w:t>
      </w:r>
      <w:r w:rsidRPr="00EA0DDD">
        <w:rPr>
          <w:rFonts w:ascii="Times New Roman" w:hAnsi="Times New Roman"/>
          <w:bCs/>
          <w:sz w:val="24"/>
          <w:szCs w:val="24"/>
        </w:rPr>
        <w:t xml:space="preserve">на </w:t>
      </w:r>
      <w:r w:rsidRPr="00AF28A8">
        <w:rPr>
          <w:rFonts w:ascii="Times New Roman" w:hAnsi="Times New Roman"/>
          <w:sz w:val="24"/>
          <w:szCs w:val="24"/>
        </w:rPr>
        <w:t>201</w:t>
      </w:r>
      <w:r>
        <w:rPr>
          <w:rFonts w:ascii="Times New Roman" w:hAnsi="Times New Roman"/>
          <w:sz w:val="24"/>
          <w:szCs w:val="24"/>
        </w:rPr>
        <w:t>8 год и плановый период 2019 и 2020</w:t>
      </w:r>
      <w:r w:rsidRPr="00AF28A8">
        <w:rPr>
          <w:rFonts w:ascii="Times New Roman" w:hAnsi="Times New Roman"/>
          <w:sz w:val="24"/>
          <w:szCs w:val="24"/>
        </w:rPr>
        <w:t xml:space="preserve"> год</w:t>
      </w:r>
      <w:r>
        <w:rPr>
          <w:rFonts w:ascii="Times New Roman" w:hAnsi="Times New Roman"/>
          <w:sz w:val="24"/>
          <w:szCs w:val="24"/>
        </w:rPr>
        <w:t>ов</w:t>
      </w:r>
      <w:r w:rsidRPr="00EA0DDD">
        <w:rPr>
          <w:rFonts w:ascii="Times New Roman" w:hAnsi="Times New Roman"/>
          <w:bCs/>
          <w:sz w:val="24"/>
          <w:szCs w:val="24"/>
        </w:rPr>
        <w:t xml:space="preserve">, </w:t>
      </w:r>
      <w:r>
        <w:rPr>
          <w:rFonts w:ascii="Times New Roman" w:hAnsi="Times New Roman"/>
          <w:bCs/>
          <w:sz w:val="24"/>
          <w:szCs w:val="24"/>
        </w:rPr>
        <w:t xml:space="preserve">проекте бюджетного прогноза Амурской области на </w:t>
      </w:r>
      <w:r w:rsidRPr="00107999">
        <w:rPr>
          <w:rFonts w:ascii="Times New Roman" w:hAnsi="Times New Roman"/>
          <w:bCs/>
          <w:sz w:val="24"/>
          <w:szCs w:val="24"/>
        </w:rPr>
        <w:t>2017-2028 годы с учетом внесенных изменений, материалов, представленных губернатором</w:t>
      </w:r>
      <w:r w:rsidRPr="00AF28A8">
        <w:rPr>
          <w:rFonts w:ascii="Times New Roman" w:hAnsi="Times New Roman"/>
          <w:bCs/>
          <w:sz w:val="24"/>
          <w:szCs w:val="24"/>
        </w:rPr>
        <w:t xml:space="preserve"> Амурской области в Законодательное Собрание Амурской области </w:t>
      </w:r>
      <w:r w:rsidR="00107999">
        <w:rPr>
          <w:rFonts w:ascii="Times New Roman" w:hAnsi="Times New Roman"/>
          <w:bCs/>
          <w:sz w:val="24"/>
          <w:szCs w:val="24"/>
        </w:rPr>
        <w:t xml:space="preserve">одновременно </w:t>
      </w:r>
      <w:r w:rsidRPr="00AF28A8">
        <w:rPr>
          <w:rFonts w:ascii="Times New Roman" w:hAnsi="Times New Roman"/>
          <w:bCs/>
          <w:sz w:val="24"/>
          <w:szCs w:val="24"/>
        </w:rPr>
        <w:t xml:space="preserve">с проектом Закона Амурской области «Об областном бюджете </w:t>
      </w:r>
      <w:r w:rsidRPr="00AF28A8">
        <w:rPr>
          <w:rFonts w:ascii="Times New Roman" w:hAnsi="Times New Roman"/>
          <w:sz w:val="24"/>
          <w:szCs w:val="24"/>
        </w:rPr>
        <w:t>201</w:t>
      </w:r>
      <w:r>
        <w:rPr>
          <w:rFonts w:ascii="Times New Roman" w:hAnsi="Times New Roman"/>
          <w:sz w:val="24"/>
          <w:szCs w:val="24"/>
        </w:rPr>
        <w:t xml:space="preserve">8 год и плановый период 2019 и </w:t>
      </w:r>
      <w:r w:rsidR="00107999">
        <w:rPr>
          <w:rFonts w:ascii="Times New Roman" w:hAnsi="Times New Roman"/>
          <w:sz w:val="24"/>
          <w:szCs w:val="24"/>
        </w:rPr>
        <w:br/>
      </w:r>
      <w:r>
        <w:rPr>
          <w:rFonts w:ascii="Times New Roman" w:hAnsi="Times New Roman"/>
          <w:sz w:val="24"/>
          <w:szCs w:val="24"/>
        </w:rPr>
        <w:t>2020</w:t>
      </w:r>
      <w:r w:rsidRPr="00AF28A8">
        <w:rPr>
          <w:rFonts w:ascii="Times New Roman" w:hAnsi="Times New Roman"/>
          <w:sz w:val="24"/>
          <w:szCs w:val="24"/>
        </w:rPr>
        <w:t xml:space="preserve"> год</w:t>
      </w:r>
      <w:r>
        <w:rPr>
          <w:rFonts w:ascii="Times New Roman" w:hAnsi="Times New Roman"/>
          <w:sz w:val="24"/>
          <w:szCs w:val="24"/>
        </w:rPr>
        <w:t>ов</w:t>
      </w:r>
      <w:r w:rsidRPr="00AF28A8">
        <w:rPr>
          <w:rFonts w:ascii="Times New Roman" w:hAnsi="Times New Roman"/>
          <w:bCs/>
          <w:sz w:val="24"/>
          <w:szCs w:val="24"/>
        </w:rPr>
        <w:t>», итогов исполнения областного бюджета за 9 месяцев 201</w:t>
      </w:r>
      <w:r>
        <w:rPr>
          <w:rFonts w:ascii="Times New Roman" w:hAnsi="Times New Roman"/>
          <w:bCs/>
          <w:sz w:val="24"/>
          <w:szCs w:val="24"/>
        </w:rPr>
        <w:t>7</w:t>
      </w:r>
      <w:r w:rsidRPr="00AF28A8">
        <w:rPr>
          <w:rFonts w:ascii="Times New Roman" w:hAnsi="Times New Roman"/>
          <w:bCs/>
          <w:sz w:val="24"/>
          <w:szCs w:val="24"/>
        </w:rPr>
        <w:t xml:space="preserve"> года</w:t>
      </w:r>
      <w:r>
        <w:rPr>
          <w:rFonts w:ascii="Times New Roman" w:hAnsi="Times New Roman"/>
          <w:bCs/>
          <w:sz w:val="24"/>
          <w:szCs w:val="24"/>
        </w:rPr>
        <w:t xml:space="preserve"> и оценки ожидаемого исполнения бюджета за 2017 год</w:t>
      </w:r>
      <w:r w:rsidRPr="00AF28A8">
        <w:rPr>
          <w:rFonts w:ascii="Times New Roman" w:hAnsi="Times New Roman"/>
          <w:bCs/>
          <w:sz w:val="24"/>
          <w:szCs w:val="24"/>
        </w:rPr>
        <w:t>. При подготовке Заключения проанализированы показатели, формирующие доходную базу областного бюджета</w:t>
      </w:r>
      <w:r>
        <w:rPr>
          <w:rFonts w:ascii="Times New Roman" w:hAnsi="Times New Roman"/>
          <w:bCs/>
          <w:sz w:val="24"/>
          <w:szCs w:val="24"/>
        </w:rPr>
        <w:t xml:space="preserve">, </w:t>
      </w:r>
      <w:r w:rsidRPr="00AF28A8">
        <w:rPr>
          <w:rFonts w:ascii="Times New Roman" w:hAnsi="Times New Roman"/>
          <w:bCs/>
          <w:sz w:val="24"/>
          <w:szCs w:val="24"/>
        </w:rPr>
        <w:t>а также основные направления расходов областного бюджета в 201</w:t>
      </w:r>
      <w:r>
        <w:rPr>
          <w:rFonts w:ascii="Times New Roman" w:hAnsi="Times New Roman"/>
          <w:bCs/>
          <w:sz w:val="24"/>
          <w:szCs w:val="24"/>
        </w:rPr>
        <w:t xml:space="preserve">8 </w:t>
      </w:r>
      <w:r w:rsidRPr="00AF28A8">
        <w:rPr>
          <w:rFonts w:ascii="Times New Roman" w:hAnsi="Times New Roman"/>
          <w:bCs/>
          <w:sz w:val="24"/>
          <w:szCs w:val="24"/>
        </w:rPr>
        <w:t>году</w:t>
      </w:r>
      <w:r>
        <w:rPr>
          <w:rFonts w:ascii="Times New Roman" w:hAnsi="Times New Roman"/>
          <w:bCs/>
          <w:sz w:val="24"/>
          <w:szCs w:val="24"/>
        </w:rPr>
        <w:t xml:space="preserve"> и плановом периоде 2019 и </w:t>
      </w:r>
      <w:r>
        <w:rPr>
          <w:rFonts w:ascii="Times New Roman" w:hAnsi="Times New Roman"/>
          <w:bCs/>
          <w:sz w:val="24"/>
          <w:szCs w:val="24"/>
        </w:rPr>
        <w:br/>
        <w:t>2020 годов</w:t>
      </w:r>
      <w:r w:rsidRPr="00AF28A8">
        <w:rPr>
          <w:rFonts w:ascii="Times New Roman" w:hAnsi="Times New Roman"/>
          <w:bCs/>
          <w:sz w:val="24"/>
          <w:szCs w:val="24"/>
        </w:rPr>
        <w:t>, расходы на государственную поддержку муниципальн</w:t>
      </w:r>
      <w:r>
        <w:rPr>
          <w:rFonts w:ascii="Times New Roman" w:hAnsi="Times New Roman"/>
          <w:bCs/>
          <w:sz w:val="24"/>
          <w:szCs w:val="24"/>
        </w:rPr>
        <w:t>ых образований Амурской области</w:t>
      </w:r>
      <w:r w:rsidRPr="00AF28A8">
        <w:rPr>
          <w:rFonts w:ascii="Times New Roman" w:hAnsi="Times New Roman"/>
          <w:bCs/>
          <w:sz w:val="24"/>
          <w:szCs w:val="24"/>
        </w:rPr>
        <w:t>.</w:t>
      </w:r>
      <w:r w:rsidRPr="00D928AA">
        <w:rPr>
          <w:rFonts w:ascii="Times New Roman" w:hAnsi="Times New Roman"/>
          <w:bCs/>
          <w:sz w:val="24"/>
          <w:szCs w:val="24"/>
        </w:rPr>
        <w:t xml:space="preserve"> </w:t>
      </w:r>
      <w:r w:rsidRPr="00AF28A8">
        <w:rPr>
          <w:rFonts w:ascii="Times New Roman" w:hAnsi="Times New Roman"/>
          <w:bCs/>
          <w:sz w:val="24"/>
          <w:szCs w:val="24"/>
        </w:rPr>
        <w:t>Проведена оценка соответствия проекта областного бюджета нормам Бюджетного кодекса Российской Федерации, Налогового кодекса Российской Федерации, иных актов законодательства Российской Федерации и Амурской области по организации бюджетного процесса.</w:t>
      </w:r>
    </w:p>
    <w:p w:rsidR="00BF2123" w:rsidRPr="00167E0C" w:rsidRDefault="00BF2123" w:rsidP="00107999">
      <w:pPr>
        <w:pStyle w:val="ConsPlusNormal"/>
        <w:spacing w:line="288" w:lineRule="auto"/>
        <w:ind w:firstLine="709"/>
        <w:jc w:val="both"/>
      </w:pPr>
      <w:r w:rsidRPr="00AF28A8">
        <w:t>Законопроект внесен губернатором Амурской области на рассмотрение Законодатель</w:t>
      </w:r>
      <w:r>
        <w:t>ного Собрания Амурской области 25</w:t>
      </w:r>
      <w:r w:rsidRPr="00AF28A8">
        <w:t xml:space="preserve"> </w:t>
      </w:r>
      <w:r>
        <w:t>окт</w:t>
      </w:r>
      <w:r w:rsidRPr="00AF28A8">
        <w:t>ября 201</w:t>
      </w:r>
      <w:r>
        <w:t>7</w:t>
      </w:r>
      <w:r w:rsidRPr="00AF28A8">
        <w:t xml:space="preserve"> года, с соблюдением сроков, установленных статьей 4 Закона Амурской области от 31.08.2007 № 368-ОЗ «О бюджетном процессе в Амурской области»</w:t>
      </w:r>
      <w:r>
        <w:t>.</w:t>
      </w:r>
    </w:p>
    <w:p w:rsidR="00BF2123" w:rsidRPr="00167E0C" w:rsidRDefault="00BF2123" w:rsidP="00107999">
      <w:pPr>
        <w:spacing w:after="0" w:line="288" w:lineRule="auto"/>
        <w:ind w:firstLine="709"/>
        <w:jc w:val="both"/>
        <w:rPr>
          <w:rFonts w:ascii="Times New Roman" w:hAnsi="Times New Roman"/>
          <w:sz w:val="24"/>
          <w:szCs w:val="24"/>
        </w:rPr>
      </w:pPr>
      <w:r w:rsidRPr="00167E0C">
        <w:rPr>
          <w:rFonts w:ascii="Times New Roman" w:hAnsi="Times New Roman"/>
          <w:sz w:val="24"/>
          <w:szCs w:val="24"/>
        </w:rPr>
        <w:t xml:space="preserve">Перечень и содержание документов, представленных одновременно с законопроектом, соответствуют требованиям Бюджетного кодекса Российской Федерации и Закона Амурской области </w:t>
      </w:r>
      <w:r w:rsidRPr="00AF28A8">
        <w:rPr>
          <w:rFonts w:ascii="Times New Roman" w:hAnsi="Times New Roman"/>
          <w:sz w:val="24"/>
          <w:szCs w:val="24"/>
        </w:rPr>
        <w:t xml:space="preserve">от 31.08.2007 № 368-ОЗ </w:t>
      </w:r>
      <w:r w:rsidRPr="00167E0C">
        <w:rPr>
          <w:rFonts w:ascii="Times New Roman" w:hAnsi="Times New Roman"/>
          <w:sz w:val="24"/>
          <w:szCs w:val="24"/>
        </w:rPr>
        <w:t>«О бюджетном процессе в Амурской области».</w:t>
      </w:r>
    </w:p>
    <w:p w:rsidR="00441D48" w:rsidRDefault="00441D48" w:rsidP="00BF2123">
      <w:pPr>
        <w:spacing w:after="0" w:line="240" w:lineRule="auto"/>
      </w:pPr>
    </w:p>
    <w:p w:rsidR="002E1BC4" w:rsidRPr="002E1BC4" w:rsidRDefault="002E1BC4" w:rsidP="002E1BC4">
      <w:pPr>
        <w:widowControl w:val="0"/>
        <w:numPr>
          <w:ilvl w:val="0"/>
          <w:numId w:val="2"/>
        </w:numPr>
        <w:spacing w:after="0" w:line="240" w:lineRule="auto"/>
        <w:contextualSpacing/>
        <w:jc w:val="center"/>
        <w:rPr>
          <w:rFonts w:ascii="Times New Roman" w:eastAsia="Calibri" w:hAnsi="Times New Roman"/>
          <w:b/>
          <w:sz w:val="24"/>
          <w:szCs w:val="24"/>
          <w:lang w:eastAsia="en-US"/>
        </w:rPr>
      </w:pPr>
      <w:r w:rsidRPr="002E1BC4">
        <w:rPr>
          <w:rFonts w:ascii="Times New Roman" w:eastAsia="Calibri" w:hAnsi="Times New Roman"/>
          <w:b/>
          <w:sz w:val="24"/>
          <w:szCs w:val="24"/>
          <w:lang w:eastAsia="en-US"/>
        </w:rPr>
        <w:lastRenderedPageBreak/>
        <w:t>Прогноз социально-экономического развития Амурской области</w:t>
      </w:r>
    </w:p>
    <w:p w:rsidR="002E1BC4" w:rsidRPr="002E1BC4" w:rsidRDefault="002E1BC4" w:rsidP="002E1BC4">
      <w:pPr>
        <w:widowControl w:val="0"/>
        <w:spacing w:after="0" w:line="240" w:lineRule="auto"/>
        <w:ind w:firstLine="709"/>
        <w:jc w:val="center"/>
        <w:rPr>
          <w:rFonts w:ascii="Times New Roman" w:hAnsi="Times New Roman"/>
          <w:b/>
          <w:sz w:val="24"/>
          <w:szCs w:val="24"/>
        </w:rPr>
      </w:pPr>
      <w:r w:rsidRPr="002E1BC4">
        <w:rPr>
          <w:rFonts w:ascii="Times New Roman" w:hAnsi="Times New Roman"/>
          <w:b/>
          <w:sz w:val="24"/>
          <w:szCs w:val="24"/>
        </w:rPr>
        <w:t>на 2018 год и на плановый период 2019 и 2020 годов</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В соответствии со ст. 184.2 Бюджетного кодекса Российской Федерации одновременно с проектом закона Амурской области «Об областном бюджете на 2018 год и плановый период 2019 и 2020 годов» представлен прогноз социально-экономического развития области на 2018 год и на плановый период 2019 и 2020 годов, одобренный распоряжением Правительства Амурской области от 20.09.2017 № 113-р.</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 xml:space="preserve">Прогноз социально-экономического развития Амурской области на 2018 год и на плановый период 2018 и 2019 годов (далее – прогноз) разработан в трех вариантах: консервативный (вариант 1), базовый (вариант 2) и целевой (вариант 3). </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В соответствии с пунктом 1.7 Порядка разработки и корректировки прогноза социально-экономического развития Амурской области на среднесрочный период, утвержденного постановлением Правительства Амурской области от 17.06.2015 № 338, среднесрочный прогноз состоит из целевых показателей социально-экономического развития Амурской области и пояснительной записки, содержащей:</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1) оценку достигнутого уровня социально-экономического развития Амурской области;</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2) оценку факторов и ограничений экономического роста Амурской области на среднесрочный период;</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3) направления социально-экономического развития Амурской области и целевые показатели одного или нескольких вариантов среднесрочного прогноза, включая количественные показатели и качественные характеристики социально-экономического развития;</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4) основные параметры государственных программ Амурской области.</w:t>
      </w:r>
    </w:p>
    <w:p w:rsidR="002E1BC4" w:rsidRPr="002E1BC4" w:rsidRDefault="002E1BC4" w:rsidP="002E1BC4">
      <w:pPr>
        <w:widowControl w:val="0"/>
        <w:spacing w:after="0" w:line="240" w:lineRule="auto"/>
        <w:ind w:firstLine="680"/>
        <w:jc w:val="both"/>
        <w:rPr>
          <w:rFonts w:ascii="Times New Roman" w:hAnsi="Times New Roman"/>
          <w:b/>
          <w:i/>
          <w:sz w:val="24"/>
          <w:szCs w:val="24"/>
        </w:rPr>
      </w:pPr>
      <w:r w:rsidRPr="002E1BC4">
        <w:rPr>
          <w:rFonts w:ascii="Times New Roman" w:hAnsi="Times New Roman"/>
          <w:b/>
          <w:i/>
          <w:sz w:val="24"/>
          <w:szCs w:val="24"/>
        </w:rPr>
        <w:t xml:space="preserve">Контрольно-счетная палата Амурской области отмечает, что пояснительная записка к представленному прогнозу не содержит оценку факторов и ограничений экономического роста Амурской области на среднесрочный период, а также основные параметры государственных программ Амурской области. </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Согласно пояснительной записке, прогноз разработан на основе прогноза социально-экономического развития Российской Федерации на среднесрочный период, стратегии социально-экономического развития Амурской области с учетом основных направлений бюджетной и налоговой политики Амурской области.</w:t>
      </w:r>
    </w:p>
    <w:p w:rsidR="002E1BC4" w:rsidRPr="002E1BC4" w:rsidRDefault="002E1BC4" w:rsidP="002E1BC4">
      <w:pPr>
        <w:widowControl w:val="0"/>
        <w:spacing w:after="0" w:line="240" w:lineRule="auto"/>
        <w:ind w:firstLine="680"/>
        <w:jc w:val="both"/>
      </w:pPr>
      <w:r w:rsidRPr="002E1BC4">
        <w:rPr>
          <w:rFonts w:ascii="Times New Roman" w:hAnsi="Times New Roman"/>
          <w:sz w:val="24"/>
          <w:szCs w:val="24"/>
        </w:rPr>
        <w:t xml:space="preserve">Базовый вариант прогноза социально-экономического развития Российской Федерации на 2018 год и на плановый период 2019 и 2020 годов, опубликованного на сайте </w:t>
      </w:r>
      <w:r w:rsidRPr="002E1BC4">
        <w:rPr>
          <w:rFonts w:ascii="Times New Roman" w:hAnsi="Times New Roman"/>
          <w:sz w:val="24"/>
          <w:szCs w:val="24"/>
          <w:lang w:val="en-US"/>
        </w:rPr>
        <w:t>www</w:t>
      </w:r>
      <w:r w:rsidRPr="002E1BC4">
        <w:rPr>
          <w:rFonts w:ascii="Times New Roman" w:hAnsi="Times New Roman"/>
          <w:sz w:val="24"/>
          <w:szCs w:val="24"/>
        </w:rPr>
        <w:t>.economy.gov.ru, исходит из консервативных предпосылок о внешнеэкономической конъюнктуре с сохранением в прогнозируемом периоде финансовых и экономических санкций в отношении российской экономики, а также ответных мер со стороны России.</w:t>
      </w:r>
      <w:r w:rsidRPr="002E1BC4">
        <w:t xml:space="preserve"> </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В среднесрочной перспективе ожидается замедление мирового экономического роста до 2,8 процента к 2020 году за счет исчерпания возможностей посткризисного восстановления и замедления китайской экономики, а также рост структурных ограничений, обусловленных увеличением доли населения старше трудоспособного возраста.</w:t>
      </w:r>
      <w:r w:rsidRPr="002E1BC4">
        <w:t xml:space="preserve"> </w:t>
      </w:r>
      <w:r w:rsidRPr="002E1BC4">
        <w:rPr>
          <w:rFonts w:ascii="Times New Roman" w:hAnsi="Times New Roman"/>
          <w:sz w:val="24"/>
          <w:szCs w:val="24"/>
        </w:rPr>
        <w:t>Невысокие темпы роста мировой экономики будут ограничивать рост спроса на энергоносители.</w:t>
      </w:r>
    </w:p>
    <w:p w:rsidR="002E1BC4" w:rsidRPr="002E1BC4" w:rsidRDefault="002E1BC4" w:rsidP="002E1BC4">
      <w:pPr>
        <w:widowControl w:val="0"/>
        <w:spacing w:after="0" w:line="240" w:lineRule="auto"/>
        <w:ind w:firstLine="680"/>
        <w:jc w:val="both"/>
        <w:rPr>
          <w:rFonts w:ascii="Times New Roman" w:hAnsi="Times New Roman"/>
          <w:sz w:val="24"/>
          <w:szCs w:val="24"/>
          <w:highlight w:val="yellow"/>
        </w:rPr>
      </w:pPr>
      <w:r w:rsidRPr="002E1BC4">
        <w:rPr>
          <w:rFonts w:ascii="Times New Roman" w:hAnsi="Times New Roman"/>
          <w:sz w:val="24"/>
          <w:szCs w:val="24"/>
        </w:rPr>
        <w:t>В основу расчета объема доходов областного бюджета согласно тексту пояснительной записки к проекту закона Амурской области «Об областном бюджете на 2018 год и плановый период 2019 и 2020 годов» принят базовый сценарий развития экономики области.</w:t>
      </w:r>
      <w:r w:rsidRPr="002E1BC4">
        <w:t xml:space="preserve"> </w:t>
      </w:r>
      <w:r w:rsidRPr="002E1BC4">
        <w:rPr>
          <w:rFonts w:ascii="Times New Roman" w:hAnsi="Times New Roman"/>
          <w:sz w:val="24"/>
          <w:szCs w:val="24"/>
        </w:rPr>
        <w:t>В связи с этим контрольно-счетная палата Амурской области при анализе вариантов прогноза основное внимание уделяет именно рассмотрению базового сценария.</w:t>
      </w:r>
    </w:p>
    <w:p w:rsid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Демографическая ситуация в Амурской области, согласно прогнозным данным, характеризуется снижением общей численности населения в 2018 году относительно оценки 2017 года на 2,97 тыс. человек, в 2019 году относительно 2018 года – на 1,46 тыс. человек. В 2020 году относительно 2019 года ожидается увеличение численности населения на 0,14 тыс. человек.</w:t>
      </w:r>
    </w:p>
    <w:p w:rsidR="002E1BC4" w:rsidRDefault="002E1BC4" w:rsidP="002E1BC4">
      <w:pPr>
        <w:widowControl w:val="0"/>
        <w:spacing w:after="0" w:line="240" w:lineRule="auto"/>
        <w:ind w:firstLine="680"/>
        <w:jc w:val="both"/>
        <w:rPr>
          <w:rFonts w:ascii="Times New Roman" w:hAnsi="Times New Roman"/>
          <w:sz w:val="24"/>
          <w:szCs w:val="24"/>
        </w:rPr>
      </w:pPr>
    </w:p>
    <w:p w:rsidR="002E1BC4" w:rsidRPr="002E1BC4" w:rsidRDefault="002E1BC4" w:rsidP="002E1BC4">
      <w:pPr>
        <w:widowControl w:val="0"/>
        <w:spacing w:after="0" w:line="240" w:lineRule="auto"/>
        <w:ind w:firstLine="680"/>
        <w:jc w:val="both"/>
        <w:rPr>
          <w:rFonts w:ascii="Times New Roman" w:hAnsi="Times New Roman"/>
          <w:b/>
          <w:i/>
          <w:sz w:val="24"/>
          <w:szCs w:val="24"/>
        </w:rPr>
      </w:pPr>
      <w:r w:rsidRPr="002E1BC4">
        <w:rPr>
          <w:rFonts w:ascii="Times New Roman" w:hAnsi="Times New Roman"/>
          <w:b/>
          <w:i/>
          <w:sz w:val="24"/>
          <w:szCs w:val="24"/>
        </w:rPr>
        <w:lastRenderedPageBreak/>
        <w:t xml:space="preserve">Контрольно-счетная палата Амурской области отмечает, что прогноз численности населения области в 2018-2019 годах ниже среднего варианта Прогноза численности населения Амурской области до 2035 года, опубликованного на сайте </w:t>
      </w:r>
      <w:r w:rsidRPr="002E1BC4">
        <w:rPr>
          <w:rFonts w:ascii="Times New Roman" w:hAnsi="Times New Roman"/>
          <w:b/>
          <w:i/>
          <w:sz w:val="24"/>
          <w:szCs w:val="24"/>
          <w:lang w:val="en-US"/>
        </w:rPr>
        <w:t>www</w:t>
      </w:r>
      <w:r w:rsidRPr="002E1BC4">
        <w:rPr>
          <w:rFonts w:ascii="Times New Roman" w:hAnsi="Times New Roman"/>
          <w:b/>
          <w:i/>
          <w:sz w:val="24"/>
          <w:szCs w:val="24"/>
        </w:rPr>
        <w:t>.amurstat.gks.ru. В то же время показатель численности населения, приведенный в прогнозе на 2020 год, превышает уровень, спрогнозированный Амурстатом, на 4,5 тыс. человек.</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 xml:space="preserve">Ожидается, что в прогнозируемом периоде смертность будет превышать рождаемость. Так коэффициент естественной убыли составит: в 2018 году – 1,0 промилле, в 2019 году – </w:t>
      </w:r>
      <w:r w:rsidRPr="002E1BC4">
        <w:rPr>
          <w:rFonts w:ascii="Times New Roman" w:hAnsi="Times New Roman"/>
          <w:sz w:val="24"/>
          <w:szCs w:val="24"/>
        </w:rPr>
        <w:br/>
        <w:t>0,7 промилле, в 2020 году – 0,5 промилле.</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В то же время, согласно пояснительной записке к прогнозу, создание новых рабочих мест с высоким уровнем оплаты труда в рамках реализации крупных инвестиционных проектов на территории области позволит не только замедлить миграционный отток населения, но и обеспечить миграционный прирост. Коэффициент миграционной убыли составит: в 2018 году – 19,4 промилле, в 2019 году – 0,0 промилле. В 2020 году коэффициент миграционного прироста составит 15,9 человека на 10000 человек населения.</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b/>
          <w:i/>
          <w:sz w:val="24"/>
          <w:szCs w:val="24"/>
        </w:rPr>
        <w:t>При таких показателях естественного движения населения не будет достигнут запланированный Стратегией социально-экономического развития Амурской области на период до 2025 года (далее – Стратегия), утвержденной постановлением Правительства Амурской области от 13.07.2012 № 380 (с изменениями), на 2020 год показатель естественного прироста в размере 2,1 на 1000 человек населения.</w:t>
      </w:r>
      <w:r w:rsidRPr="002E1BC4">
        <w:rPr>
          <w:rFonts w:ascii="Times New Roman" w:hAnsi="Times New Roman"/>
          <w:b/>
          <w:sz w:val="24"/>
          <w:szCs w:val="24"/>
        </w:rPr>
        <w:t xml:space="preserve"> </w:t>
      </w:r>
      <w:r w:rsidRPr="002E1BC4">
        <w:rPr>
          <w:rFonts w:ascii="Times New Roman" w:hAnsi="Times New Roman"/>
          <w:sz w:val="24"/>
          <w:szCs w:val="24"/>
        </w:rPr>
        <w:t>В то же время, Стратегией на 2020 год предусмотрена миграционная убыль в размере 15,0 промилле.</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 xml:space="preserve">Прогнозом предусмотрено увеличение продолжительности жизни населения с </w:t>
      </w:r>
      <w:r w:rsidRPr="002E1BC4">
        <w:rPr>
          <w:rFonts w:ascii="Times New Roman" w:hAnsi="Times New Roman"/>
          <w:sz w:val="24"/>
          <w:szCs w:val="24"/>
        </w:rPr>
        <w:br/>
        <w:t>68,4 года в 2017 году до 68,6 года в 2020 году.</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Анализ прогноза показывает, что наблюдается сдержанная динамика по основным показателям, характеризующим уровень жизни населения.</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Прогнозом предусмотрено увеличение денежных доходов населения с </w:t>
      </w:r>
      <w:r w:rsidRPr="002E1BC4">
        <w:rPr>
          <w:rFonts w:ascii="Times New Roman" w:hAnsi="Times New Roman"/>
          <w:sz w:val="24"/>
          <w:szCs w:val="24"/>
        </w:rPr>
        <w:br/>
        <w:t>303487,74 млн. рублей (оценка 2017 года) до 361878,03 млн. рублей в 2020 году (прирост по отношению к 2017 году – 19,2 процента). Данные о прогнозируемых размерах денежных доходов населения приведены на рисунке 1.</w:t>
      </w:r>
    </w:p>
    <w:p w:rsidR="002E1BC4" w:rsidRPr="00134415" w:rsidRDefault="002E1BC4" w:rsidP="002E1BC4">
      <w:pPr>
        <w:widowControl w:val="0"/>
        <w:spacing w:after="0" w:line="240" w:lineRule="auto"/>
        <w:jc w:val="both"/>
        <w:rPr>
          <w:rFonts w:ascii="Times New Roman" w:hAnsi="Times New Roman"/>
          <w:sz w:val="24"/>
          <w:szCs w:val="24"/>
        </w:rPr>
      </w:pPr>
      <w:r w:rsidRPr="002E1BC4">
        <w:rPr>
          <w:rFonts w:ascii="Times New Roman" w:hAnsi="Times New Roman"/>
          <w:noProof/>
          <w:color w:val="FF0000"/>
          <w:sz w:val="28"/>
          <w:szCs w:val="28"/>
        </w:rPr>
        <w:drawing>
          <wp:inline distT="0" distB="0" distL="0" distR="0" wp14:anchorId="73C9BCBE" wp14:editId="1D5AA802">
            <wp:extent cx="6115050" cy="2786063"/>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1BC4" w:rsidRPr="002E1BC4" w:rsidRDefault="002E1BC4" w:rsidP="002E1BC4">
      <w:pPr>
        <w:spacing w:after="0" w:line="240" w:lineRule="auto"/>
        <w:jc w:val="center"/>
        <w:rPr>
          <w:rFonts w:ascii="Times New Roman" w:hAnsi="Times New Roman"/>
          <w:b/>
          <w:sz w:val="24"/>
          <w:szCs w:val="24"/>
        </w:rPr>
      </w:pPr>
      <w:r w:rsidRPr="002E1BC4">
        <w:rPr>
          <w:rFonts w:ascii="Times New Roman" w:hAnsi="Times New Roman"/>
          <w:b/>
          <w:sz w:val="24"/>
          <w:szCs w:val="24"/>
        </w:rPr>
        <w:t>Рис. 1 – Динамика доходов и расходов н</w:t>
      </w:r>
      <w:r w:rsidR="00134415">
        <w:rPr>
          <w:rFonts w:ascii="Times New Roman" w:hAnsi="Times New Roman"/>
          <w:b/>
          <w:sz w:val="24"/>
          <w:szCs w:val="24"/>
        </w:rPr>
        <w:t>аселения в 2016-2020 годах</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В 2018 году согласно прогнозу ожидается рост реальных денежных доходов на 2,24 процента по отношению к оценке 2017 года, которая также выше уровня 2016 года на </w:t>
      </w:r>
      <w:r w:rsidRPr="002E1BC4">
        <w:rPr>
          <w:rFonts w:ascii="Times New Roman" w:hAnsi="Times New Roman"/>
          <w:sz w:val="24"/>
          <w:szCs w:val="24"/>
        </w:rPr>
        <w:br/>
        <w:t xml:space="preserve">2,2 процента (102,2 процента в 2017 году относительно 2016 года). В последующих 2019 и 2020 годах прогнозируемые реальные денежные доходы населения вырастут незначительно: 101,77 процента в 2019 году по отношению к 2018 году, 101,88 процента </w:t>
      </w:r>
      <w:r w:rsidRPr="002E1BC4">
        <w:rPr>
          <w:rFonts w:ascii="Times New Roman" w:hAnsi="Times New Roman"/>
          <w:sz w:val="24"/>
          <w:szCs w:val="24"/>
        </w:rPr>
        <w:br/>
        <w:t>в 2020 году по отношению к 2019 году.</w:t>
      </w:r>
    </w:p>
    <w:p w:rsidR="002E1BC4" w:rsidRDefault="002E1BC4" w:rsidP="002E1BC4">
      <w:pPr>
        <w:widowControl w:val="0"/>
        <w:spacing w:after="0" w:line="240" w:lineRule="auto"/>
        <w:ind w:firstLine="709"/>
        <w:jc w:val="both"/>
        <w:rPr>
          <w:rFonts w:ascii="Times New Roman" w:hAnsi="Times New Roman"/>
          <w:sz w:val="24"/>
          <w:szCs w:val="24"/>
        </w:rPr>
      </w:pP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lastRenderedPageBreak/>
        <w:t>В структуре денежных доходов населения прогнозируется увеличение доли доходов от оплаты труда: 44,4 процента в 2020 году против 42,2 процента в 2017 году. Снизится доля доходов за счет социальных выплат: в 2017 году по оценке она составит 19,6 процента, в 2020 году – 18,8 процента. Доли доходов от предпринимательской деятельности, доходов от собственности и других доходов (включая «скрытые», от продажи валюты, денежные переводы и пр.) в 2020 году снизятся и составят: 9,49; 2,81; 24,5 процента против: 9,8; 2,9; 25,6 процентов в 2017 году (оценка), соответственно.</w:t>
      </w: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t>Среднемесячная номинальная начисленная заработная плата в целом по региону в 2017 году составит 35,21 тыс. рублей. Согласно прогнозу к 2020 году Среднемесячная номинальная начисленная заработная плата в целом по региону должна увеличиваться с темпом роста 106,4-106,7 процента ежегодно и к 2020 году составить по базовому варианту -42,61 тыс. рублей, по целевому – 42,78 тыс. рублей.</w:t>
      </w: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2017 году составит 31,79 тыс. рублей. К 2020 году указанный показатель согласно прогнозу должен составлять по базовому варианту - 38,48 тыс. рублей, по целевому варианту – 39,84 тыс. рублей.</w:t>
      </w:r>
    </w:p>
    <w:p w:rsidR="002E1BC4" w:rsidRPr="002E1BC4" w:rsidRDefault="002E1BC4" w:rsidP="00134415">
      <w:pPr>
        <w:widowControl w:val="0"/>
        <w:spacing w:after="0"/>
        <w:ind w:firstLine="709"/>
        <w:jc w:val="both"/>
        <w:rPr>
          <w:rFonts w:ascii="Times New Roman" w:hAnsi="Times New Roman"/>
          <w:b/>
          <w:i/>
          <w:sz w:val="24"/>
          <w:szCs w:val="24"/>
        </w:rPr>
      </w:pPr>
      <w:r w:rsidRPr="002E1BC4">
        <w:rPr>
          <w:rFonts w:ascii="Times New Roman" w:hAnsi="Times New Roman"/>
          <w:b/>
          <w:i/>
          <w:sz w:val="24"/>
          <w:szCs w:val="24"/>
        </w:rPr>
        <w:t>Стратегией на 2020 год предусмотрено, что среднемесячная заработная плата работников должна составлять 47,7 тыс. рублей. Таким образом, при реализации прогноза, в 2020 году запланированное Стратегией значение показателя «Среднемесячная заработная плата работников» не будет достигнуто.</w:t>
      </w:r>
    </w:p>
    <w:p w:rsidR="002E1BC4" w:rsidRPr="002E1BC4" w:rsidRDefault="002E1BC4" w:rsidP="00134415">
      <w:pPr>
        <w:widowControl w:val="0"/>
        <w:spacing w:after="0"/>
        <w:ind w:firstLine="709"/>
        <w:jc w:val="both"/>
        <w:rPr>
          <w:rFonts w:ascii="Times New Roman" w:hAnsi="Times New Roman"/>
          <w:b/>
          <w:i/>
          <w:sz w:val="24"/>
          <w:szCs w:val="24"/>
        </w:rPr>
      </w:pPr>
      <w:r w:rsidRPr="002E1BC4">
        <w:rPr>
          <w:rFonts w:ascii="Times New Roman" w:hAnsi="Times New Roman"/>
          <w:sz w:val="24"/>
          <w:szCs w:val="24"/>
        </w:rPr>
        <w:t xml:space="preserve">Рынок труда в прогнозируемом периоде характеризуется стабильным состоянием с приростом численности занятых в экономике за счет создания рабочих мест с высоким уровнем оплаты труда в рамках реализации крупных инвестиционных проектов на территории области на 2,2 тыс. человек в 2020 году относительно оценки 2017 года. </w:t>
      </w:r>
      <w:r w:rsidRPr="002E1BC4">
        <w:rPr>
          <w:rFonts w:ascii="Times New Roman" w:hAnsi="Times New Roman"/>
          <w:b/>
          <w:i/>
          <w:sz w:val="24"/>
          <w:szCs w:val="24"/>
        </w:rPr>
        <w:t>Пояснительная записка не содержит обоснования увеличения численности занятых в экономике области с указанием на конкретные инвестиционные проекты, обеспечивающие рост данного показателя в прогнозируемом периоде.</w:t>
      </w: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t xml:space="preserve">Предполагается, что уровень безработицы снизится с 6,0 процентов в 2017 году (оценка) до 5,83 процента в 2020 году. При этом фонд начисленной заработной платы всех работников увеличится в 2020 году относительно оценки 2017 года на </w:t>
      </w:r>
      <w:r w:rsidRPr="002E1BC4">
        <w:rPr>
          <w:rFonts w:ascii="Times New Roman" w:hAnsi="Times New Roman"/>
          <w:sz w:val="24"/>
          <w:szCs w:val="24"/>
        </w:rPr>
        <w:br/>
        <w:t>25580,1 млн. рублей, или 22,09 процента.</w:t>
      </w:r>
    </w:p>
    <w:p w:rsidR="002E1BC4" w:rsidRPr="002E1BC4" w:rsidRDefault="002E1BC4" w:rsidP="00134415">
      <w:pPr>
        <w:spacing w:after="0"/>
        <w:ind w:firstLine="748"/>
        <w:jc w:val="both"/>
        <w:rPr>
          <w:rFonts w:ascii="Times New Roman" w:hAnsi="Times New Roman"/>
          <w:sz w:val="24"/>
          <w:szCs w:val="24"/>
        </w:rPr>
      </w:pPr>
      <w:r w:rsidRPr="002E1BC4">
        <w:rPr>
          <w:rFonts w:ascii="Times New Roman" w:hAnsi="Times New Roman"/>
          <w:sz w:val="24"/>
          <w:szCs w:val="24"/>
        </w:rPr>
        <w:t xml:space="preserve">По оценке в 2017 году денежные расходы населения сложатся в сумме </w:t>
      </w:r>
      <w:r w:rsidRPr="002E1BC4">
        <w:rPr>
          <w:rFonts w:ascii="Times New Roman" w:hAnsi="Times New Roman"/>
          <w:sz w:val="24"/>
          <w:szCs w:val="24"/>
        </w:rPr>
        <w:br/>
        <w:t xml:space="preserve">301647,18 млн. рублей, что составляет 106,2 процента к уровню предыдущего года. В </w:t>
      </w:r>
      <w:r w:rsidRPr="002E1BC4">
        <w:rPr>
          <w:rFonts w:ascii="Times New Roman" w:hAnsi="Times New Roman"/>
          <w:sz w:val="24"/>
          <w:szCs w:val="24"/>
        </w:rPr>
        <w:br/>
        <w:t>2018 году денежные расходы населения составят 319642,1 млн. рублей, в 2019 году – 337343,92 млн. рублей, в 2020 году – 356390,46 млн. рублей.</w:t>
      </w:r>
    </w:p>
    <w:p w:rsidR="002E1BC4" w:rsidRPr="002E1BC4" w:rsidRDefault="002E1BC4" w:rsidP="00134415">
      <w:pPr>
        <w:widowControl w:val="0"/>
        <w:autoSpaceDE w:val="0"/>
        <w:autoSpaceDN w:val="0"/>
        <w:adjustRightInd w:val="0"/>
        <w:spacing w:after="0"/>
        <w:ind w:firstLine="709"/>
        <w:jc w:val="both"/>
        <w:rPr>
          <w:rFonts w:ascii="Times New Roman" w:hAnsi="Times New Roman"/>
          <w:sz w:val="24"/>
          <w:szCs w:val="24"/>
        </w:rPr>
      </w:pPr>
      <w:r w:rsidRPr="002E1BC4">
        <w:rPr>
          <w:rFonts w:ascii="Times New Roman" w:hAnsi="Times New Roman"/>
          <w:sz w:val="24"/>
          <w:szCs w:val="24"/>
        </w:rPr>
        <w:t>Структура денежных расходов в 2017 году и на протяжении всего периода прогнозирования останется стабильной: примерно 72,0-73,0 процента расходов населения будет использоваться на покупку товаров и оплату услуг, в пределах 8,0-9,5 процента – на оплату обязательных платежей и взносов.</w:t>
      </w: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t>В прогнозируемом периоде денежные доходы будут превышать денежные расходы на 3048,1-5487,57 млн. рублей.</w:t>
      </w:r>
    </w:p>
    <w:p w:rsidR="002E1BC4" w:rsidRPr="002E1BC4" w:rsidRDefault="002E1BC4" w:rsidP="00134415">
      <w:pPr>
        <w:widowControl w:val="0"/>
        <w:spacing w:after="0"/>
        <w:ind w:firstLine="709"/>
        <w:jc w:val="both"/>
        <w:rPr>
          <w:rFonts w:ascii="Times New Roman" w:hAnsi="Times New Roman"/>
          <w:sz w:val="24"/>
          <w:szCs w:val="24"/>
        </w:rPr>
      </w:pPr>
      <w:r w:rsidRPr="002E1BC4">
        <w:rPr>
          <w:rFonts w:ascii="Times New Roman" w:hAnsi="Times New Roman"/>
          <w:sz w:val="24"/>
          <w:szCs w:val="24"/>
        </w:rPr>
        <w:t>Соотношение денежных доходов в среднем на душу населения в месяц, величины прожиточного минимума, а также численность населения с доходами ниже прожиточного минимума приведены на рисунке 2.</w:t>
      </w:r>
    </w:p>
    <w:p w:rsidR="002E1BC4" w:rsidRPr="00134415" w:rsidRDefault="002E1BC4" w:rsidP="002E1BC4">
      <w:pPr>
        <w:widowControl w:val="0"/>
        <w:autoSpaceDE w:val="0"/>
        <w:autoSpaceDN w:val="0"/>
        <w:adjustRightInd w:val="0"/>
        <w:spacing w:after="0" w:line="240" w:lineRule="auto"/>
        <w:jc w:val="both"/>
        <w:rPr>
          <w:rFonts w:ascii="Times New Roman" w:hAnsi="Times New Roman"/>
          <w:sz w:val="24"/>
          <w:szCs w:val="24"/>
          <w:highlight w:val="yellow"/>
        </w:rPr>
      </w:pPr>
      <w:r w:rsidRPr="002E1BC4">
        <w:rPr>
          <w:rFonts w:eastAsia="Calibri"/>
          <w:noProof/>
          <w:color w:val="FF0000"/>
          <w:highlight w:val="yellow"/>
          <w:shd w:val="clear" w:color="auto" w:fill="92D050"/>
        </w:rPr>
        <w:lastRenderedPageBreak/>
        <w:drawing>
          <wp:inline distT="0" distB="0" distL="0" distR="0" wp14:anchorId="01680E71" wp14:editId="0FFEB8C1">
            <wp:extent cx="6329362" cy="2850356"/>
            <wp:effectExtent l="0" t="0" r="0" b="762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1BC4" w:rsidRPr="002E1BC4" w:rsidRDefault="002E1BC4" w:rsidP="002E1BC4">
      <w:pPr>
        <w:widowControl w:val="0"/>
        <w:autoSpaceDE w:val="0"/>
        <w:autoSpaceDN w:val="0"/>
        <w:adjustRightInd w:val="0"/>
        <w:spacing w:after="0" w:line="240" w:lineRule="auto"/>
        <w:jc w:val="center"/>
        <w:rPr>
          <w:rFonts w:ascii="Times New Roman" w:hAnsi="Times New Roman"/>
          <w:b/>
          <w:sz w:val="24"/>
          <w:szCs w:val="24"/>
        </w:rPr>
      </w:pPr>
      <w:r w:rsidRPr="002E1BC4">
        <w:rPr>
          <w:rFonts w:ascii="Times New Roman" w:hAnsi="Times New Roman"/>
          <w:b/>
          <w:sz w:val="24"/>
          <w:szCs w:val="24"/>
        </w:rPr>
        <w:t>Рис. 2 - Денежные доходы в среднем на душу населения в месяц, величина прожиточного минимума и доля населения с доходами ниже прожиточного минимума в Амурской области, в 2016-2020 годах</w:t>
      </w:r>
    </w:p>
    <w:p w:rsidR="002E1BC4" w:rsidRPr="002E1BC4" w:rsidRDefault="002E1BC4" w:rsidP="002E1BC4">
      <w:pPr>
        <w:spacing w:after="0" w:line="240" w:lineRule="auto"/>
        <w:ind w:firstLine="748"/>
        <w:jc w:val="both"/>
        <w:rPr>
          <w:rFonts w:ascii="Times New Roman" w:hAnsi="Times New Roman"/>
          <w:sz w:val="24"/>
          <w:szCs w:val="24"/>
        </w:rPr>
      </w:pPr>
      <w:r w:rsidRPr="002E1BC4">
        <w:rPr>
          <w:rFonts w:ascii="Times New Roman" w:hAnsi="Times New Roman"/>
          <w:sz w:val="24"/>
          <w:szCs w:val="24"/>
        </w:rPr>
        <w:t>В 2016 году численность населения с доходами ниже прожиточного минимума составляла 16,1 процента общей численности населения области. В прогнозируемом периоде ожидается снижение данного показателя в 2020 году до 13,3 процента.</w:t>
      </w:r>
    </w:p>
    <w:p w:rsidR="002E1BC4" w:rsidRP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0"/>
        </w:rPr>
      </w:pPr>
      <w:r w:rsidRPr="002E1BC4">
        <w:rPr>
          <w:rFonts w:ascii="Times New Roman" w:hAnsi="Times New Roman"/>
          <w:sz w:val="24"/>
          <w:szCs w:val="20"/>
        </w:rPr>
        <w:t>Уровень потребительских цен в Амурской области в 2018 и 2020 годах прогнозируется на уровне инфляции в целом по России в 2018-2020 годах. В 2017 году ожидается снижение индекса потребительских цен с достижением уровня 103,8 процента относительно 2016 года. Данные об индексах потребительских цен, темпах роста тарифов на электро</w:t>
      </w:r>
      <w:r w:rsidR="00134415">
        <w:rPr>
          <w:rFonts w:ascii="Times New Roman" w:hAnsi="Times New Roman"/>
          <w:sz w:val="24"/>
          <w:szCs w:val="20"/>
        </w:rPr>
        <w:t>энергию приведены на рисунке 3.</w:t>
      </w:r>
    </w:p>
    <w:p w:rsidR="002E1BC4" w:rsidRPr="002E1BC4" w:rsidRDefault="002E1BC4" w:rsidP="002E1BC4">
      <w:pPr>
        <w:autoSpaceDE w:val="0"/>
        <w:autoSpaceDN w:val="0"/>
        <w:adjustRightInd w:val="0"/>
        <w:spacing w:after="0" w:line="240" w:lineRule="auto"/>
        <w:rPr>
          <w:rFonts w:ascii="Times New Roman" w:hAnsi="Times New Roman"/>
          <w:sz w:val="24"/>
          <w:szCs w:val="20"/>
          <w:highlight w:val="yellow"/>
        </w:rPr>
      </w:pPr>
    </w:p>
    <w:p w:rsidR="002E1BC4" w:rsidRPr="002E1BC4" w:rsidRDefault="002E1BC4" w:rsidP="002E1BC4">
      <w:pPr>
        <w:widowControl w:val="0"/>
        <w:spacing w:after="0" w:line="240" w:lineRule="auto"/>
        <w:jc w:val="both"/>
        <w:rPr>
          <w:rFonts w:ascii="Times New Roman" w:hAnsi="Times New Roman"/>
          <w:sz w:val="28"/>
          <w:szCs w:val="28"/>
          <w:highlight w:val="yellow"/>
        </w:rPr>
      </w:pPr>
      <w:r w:rsidRPr="002E1BC4">
        <w:rPr>
          <w:rFonts w:ascii="Times New Roman" w:hAnsi="Times New Roman"/>
          <w:noProof/>
          <w:color w:val="FF0000"/>
          <w:sz w:val="28"/>
          <w:szCs w:val="28"/>
          <w:highlight w:val="yellow"/>
        </w:rPr>
        <w:drawing>
          <wp:inline distT="0" distB="0" distL="0" distR="0" wp14:anchorId="50194922" wp14:editId="75178A12">
            <wp:extent cx="6136481" cy="3178969"/>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1BC4" w:rsidRPr="002E1BC4" w:rsidRDefault="002E1BC4" w:rsidP="002E1BC4">
      <w:pPr>
        <w:widowControl w:val="0"/>
        <w:spacing w:after="0" w:line="240" w:lineRule="auto"/>
        <w:jc w:val="center"/>
        <w:rPr>
          <w:rFonts w:ascii="Times New Roman" w:hAnsi="Times New Roman"/>
          <w:b/>
          <w:sz w:val="24"/>
          <w:szCs w:val="24"/>
          <w:highlight w:val="yellow"/>
        </w:rPr>
      </w:pPr>
    </w:p>
    <w:p w:rsidR="002E1BC4" w:rsidRPr="002E1BC4" w:rsidRDefault="002E1BC4" w:rsidP="002E1BC4">
      <w:pPr>
        <w:widowControl w:val="0"/>
        <w:spacing w:after="0" w:line="240" w:lineRule="auto"/>
        <w:jc w:val="center"/>
        <w:rPr>
          <w:rFonts w:ascii="Times New Roman" w:hAnsi="Times New Roman"/>
          <w:b/>
          <w:sz w:val="24"/>
          <w:szCs w:val="24"/>
        </w:rPr>
      </w:pPr>
      <w:r w:rsidRPr="002E1BC4">
        <w:rPr>
          <w:rFonts w:ascii="Times New Roman" w:hAnsi="Times New Roman"/>
          <w:b/>
          <w:sz w:val="24"/>
          <w:szCs w:val="24"/>
        </w:rPr>
        <w:t>Рис. 3 - Индексы потребительских цен, темп прироста тарифов на электроэнер</w:t>
      </w:r>
      <w:r w:rsidR="00B30264">
        <w:rPr>
          <w:rFonts w:ascii="Times New Roman" w:hAnsi="Times New Roman"/>
          <w:b/>
          <w:sz w:val="24"/>
          <w:szCs w:val="24"/>
        </w:rPr>
        <w:t>гию</w:t>
      </w:r>
    </w:p>
    <w:p w:rsid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0"/>
        </w:rPr>
      </w:pPr>
    </w:p>
    <w:p w:rsidR="002E1BC4" w:rsidRP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0"/>
        </w:rPr>
      </w:pPr>
      <w:r w:rsidRPr="002E1BC4">
        <w:rPr>
          <w:rFonts w:ascii="Times New Roman" w:hAnsi="Times New Roman"/>
          <w:sz w:val="24"/>
          <w:szCs w:val="20"/>
        </w:rPr>
        <w:t xml:space="preserve">Согласно прогнозу социально-экономического развития Российской Федерации на 2018 год и на плановый период 2019 и 2020 годов более высоким темпам роста цен в </w:t>
      </w:r>
      <w:r w:rsidRPr="002E1BC4">
        <w:rPr>
          <w:rFonts w:ascii="Times New Roman" w:hAnsi="Times New Roman"/>
          <w:sz w:val="24"/>
          <w:szCs w:val="20"/>
        </w:rPr>
        <w:br/>
        <w:t xml:space="preserve">2018 году относительно 2017 года будет способствовать восстановление потребительского спроса вследствие роста доходов населения. В результате рост цен на непродовольственные </w:t>
      </w:r>
      <w:r w:rsidRPr="002E1BC4">
        <w:rPr>
          <w:rFonts w:ascii="Times New Roman" w:hAnsi="Times New Roman"/>
          <w:sz w:val="24"/>
          <w:szCs w:val="20"/>
        </w:rPr>
        <w:lastRenderedPageBreak/>
        <w:t>товары по итогам года увеличится до 4,4 процента с 3,1 процента в 2017 году. На услуги рост цен сохранится на уровне 2017 года и составит 5,0 процентов. Сдерживать рост цен на услуги в 2018 году будет сохранение уровня индексации регулируемых тарифов в коммунальном секторе на уровне 2017 года. В секторе продовольственных товаров рост цен по итогам 2018 года будет незначительно превышать уровень 2017 года, чему будет способствовать увеличение производства отечественной продукции.</w:t>
      </w:r>
    </w:p>
    <w:p w:rsidR="002E1BC4" w:rsidRP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Прогнозируемый индекс роста тарифов на электроэнергию, отпущенную различным категориям потребителей Амурской области, согласно прогнозу, составляет: 2018 год – </w:t>
      </w:r>
      <w:r w:rsidRPr="002E1BC4">
        <w:rPr>
          <w:rFonts w:ascii="Times New Roman" w:hAnsi="Times New Roman"/>
          <w:sz w:val="24"/>
          <w:szCs w:val="24"/>
        </w:rPr>
        <w:br/>
        <w:t>103,8 процента, 2019 год – 105,1 процента, 2020 год – 104,6 процента.</w:t>
      </w:r>
    </w:p>
    <w:p w:rsidR="002E1BC4" w:rsidRP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0"/>
        </w:rPr>
      </w:pPr>
      <w:r w:rsidRPr="002E1BC4">
        <w:rPr>
          <w:rFonts w:ascii="Times New Roman" w:hAnsi="Times New Roman"/>
          <w:sz w:val="24"/>
          <w:szCs w:val="20"/>
        </w:rPr>
        <w:t>По оценке, ожидаемый оборот розничной торговли за 2017 год составит 157,6 млрд. рублей, что в сопоставимой оценке составит 98,3 процента к 2016 году.</w:t>
      </w:r>
    </w:p>
    <w:p w:rsidR="002E1BC4" w:rsidRPr="002E1BC4" w:rsidRDefault="002E1BC4" w:rsidP="002E1BC4">
      <w:pPr>
        <w:widowControl w:val="0"/>
        <w:autoSpaceDE w:val="0"/>
        <w:autoSpaceDN w:val="0"/>
        <w:adjustRightInd w:val="0"/>
        <w:spacing w:after="0" w:line="240" w:lineRule="auto"/>
        <w:ind w:firstLine="709"/>
        <w:jc w:val="both"/>
        <w:rPr>
          <w:rFonts w:ascii="Times New Roman" w:hAnsi="Times New Roman"/>
          <w:sz w:val="24"/>
          <w:szCs w:val="20"/>
        </w:rPr>
      </w:pPr>
      <w:r w:rsidRPr="002E1BC4">
        <w:rPr>
          <w:rFonts w:ascii="Times New Roman" w:hAnsi="Times New Roman"/>
          <w:sz w:val="24"/>
          <w:szCs w:val="20"/>
        </w:rPr>
        <w:t>На 2018 год и на период до 2020 года прогнозируется рост оборота розничной торговли в сопоставимых ценах на: 0,5; 1,0; 1,8 процента (соответственно в 2018, 2019, 2020 годах). Развитие потребительского рынка в прогнозируемом периоде, согласно пояснительной записке к прогнозу, будет направлено на развитие конкурентной среды, повышение качества и безопасности товаров.</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Базовым вариантом прогноза социально-экономического развития Российской Федерации, использованном для разработки параметров федерального бюджета на 2017 год, предполагается, что в 2017 году основными факторами, вносящими положительный вклад в рост ВВП, являются восстановление запасов материальных оборотных средств, рост инвестиций в основной капитал и восстановление потребительского спроса.</w:t>
      </w:r>
      <w:r w:rsidRPr="002E1BC4">
        <w:t xml:space="preserve"> </w:t>
      </w:r>
      <w:r w:rsidRPr="002E1BC4">
        <w:rPr>
          <w:rFonts w:ascii="Times New Roman" w:hAnsi="Times New Roman"/>
          <w:sz w:val="24"/>
          <w:szCs w:val="24"/>
        </w:rPr>
        <w:t>В 2018-2020 годах</w:t>
      </w:r>
      <w:r w:rsidRPr="002E1BC4">
        <w:t xml:space="preserve"> </w:t>
      </w:r>
      <w:r w:rsidRPr="002E1BC4">
        <w:rPr>
          <w:rFonts w:ascii="Times New Roman" w:hAnsi="Times New Roman"/>
          <w:sz w:val="24"/>
          <w:szCs w:val="24"/>
        </w:rPr>
        <w:t>главным фактором экономического роста станет оживление инвестиционной активности, преимущественно за счет повышения роли частного бизнеса, в том числе благодаря проведению мер Правительства Российской Федерации по реализации Программы льготного кредитования малого и среднего бизнеса, развитию проектного финансирования и созданию эффективного механизма государственно-частного партнерства на принципах «инфраструктурной ипотеки». В 2018 году рост ВВП прогнозируется темпом 2,1 процента, в 2019 году – 2,2 процента и в 2020 году – 2,3 процента.</w:t>
      </w:r>
    </w:p>
    <w:p w:rsidR="002E1BC4" w:rsidRPr="002E1BC4" w:rsidRDefault="002E1BC4" w:rsidP="002E1BC4">
      <w:pPr>
        <w:autoSpaceDE w:val="0"/>
        <w:autoSpaceDN w:val="0"/>
        <w:adjustRightInd w:val="0"/>
        <w:spacing w:after="0" w:line="240" w:lineRule="auto"/>
        <w:ind w:firstLine="709"/>
        <w:jc w:val="both"/>
        <w:outlineLvl w:val="0"/>
        <w:rPr>
          <w:rFonts w:ascii="Times New Roman" w:hAnsi="Times New Roman"/>
          <w:b/>
          <w:bCs/>
          <w:i/>
          <w:sz w:val="24"/>
          <w:szCs w:val="24"/>
        </w:rPr>
      </w:pPr>
      <w:r w:rsidRPr="002E1BC4">
        <w:rPr>
          <w:rFonts w:ascii="Times New Roman" w:hAnsi="Times New Roman"/>
          <w:b/>
          <w:bCs/>
          <w:i/>
          <w:sz w:val="24"/>
          <w:szCs w:val="24"/>
        </w:rPr>
        <w:t>Объем валового регионального продукта (далее – ВРП) в 2020 году прогнозируется в сумме от 344,8 млрд. рублей (консервативный вариант) до 414,2 млрд. рублей (целевой вариант). Стратегией значение данного показателя на 2020 год установлено в сумме 556,6 млрд. рублей (больше значения целевого варианта на 142,4 млрд. рублей). Таким образом, запланированный в Стратегии уровень показателя, при любом варианте реализаци</w:t>
      </w:r>
      <w:r w:rsidR="00B103F4">
        <w:rPr>
          <w:rFonts w:ascii="Times New Roman" w:hAnsi="Times New Roman"/>
          <w:b/>
          <w:bCs/>
          <w:i/>
          <w:sz w:val="24"/>
          <w:szCs w:val="24"/>
        </w:rPr>
        <w:t>и прогноза, не будет достигнут.</w:t>
      </w:r>
    </w:p>
    <w:p w:rsidR="002E1BC4" w:rsidRPr="002E1BC4" w:rsidRDefault="002E1BC4" w:rsidP="002E1BC4">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 xml:space="preserve">Данные об объемах ВРП, темпах роста ВРП и индексах-дефляторах ВРП в </w:t>
      </w:r>
      <w:r w:rsidRPr="002E1BC4">
        <w:rPr>
          <w:rFonts w:ascii="Times New Roman" w:hAnsi="Times New Roman"/>
          <w:sz w:val="24"/>
          <w:szCs w:val="24"/>
        </w:rPr>
        <w:br/>
        <w:t>2016-2020 годах представлены на рисунке 4.</w:t>
      </w:r>
    </w:p>
    <w:p w:rsidR="00B103F4" w:rsidRPr="002E1BC4" w:rsidRDefault="00B103F4" w:rsidP="00B103F4">
      <w:pPr>
        <w:widowControl w:val="0"/>
        <w:spacing w:after="0" w:line="240" w:lineRule="auto"/>
        <w:ind w:firstLine="680"/>
        <w:jc w:val="both"/>
        <w:rPr>
          <w:rFonts w:ascii="Times New Roman" w:hAnsi="Times New Roman"/>
          <w:spacing w:val="-1"/>
          <w:sz w:val="24"/>
          <w:szCs w:val="24"/>
        </w:rPr>
      </w:pPr>
      <w:r w:rsidRPr="002E1BC4">
        <w:rPr>
          <w:rFonts w:ascii="Times New Roman" w:hAnsi="Times New Roman"/>
          <w:spacing w:val="-1"/>
          <w:sz w:val="24"/>
          <w:szCs w:val="24"/>
        </w:rPr>
        <w:t xml:space="preserve">В 2016 году согласно пояснительной записке к прогнозу в связи с сокращением прироста добавленной стоимости в добыче полезных ископаемых, обрабатывающих производствах, сельском хозяйстве, строительстве и торговле ВРП сложился на уровне </w:t>
      </w:r>
      <w:r>
        <w:rPr>
          <w:rFonts w:ascii="Times New Roman" w:hAnsi="Times New Roman"/>
          <w:spacing w:val="-1"/>
          <w:sz w:val="24"/>
          <w:szCs w:val="24"/>
        </w:rPr>
        <w:br/>
      </w:r>
      <w:r w:rsidRPr="002E1BC4">
        <w:rPr>
          <w:rFonts w:ascii="Times New Roman" w:hAnsi="Times New Roman"/>
          <w:spacing w:val="-1"/>
          <w:sz w:val="24"/>
          <w:szCs w:val="24"/>
        </w:rPr>
        <w:t xml:space="preserve">2015 года в сопоставимых ценах. </w:t>
      </w:r>
    </w:p>
    <w:p w:rsidR="00B103F4" w:rsidRPr="002E1BC4" w:rsidRDefault="00B103F4" w:rsidP="00B103F4">
      <w:pPr>
        <w:widowControl w:val="0"/>
        <w:spacing w:after="0" w:line="240" w:lineRule="auto"/>
        <w:ind w:firstLine="680"/>
        <w:jc w:val="both"/>
        <w:rPr>
          <w:rFonts w:ascii="Times New Roman" w:hAnsi="Times New Roman"/>
          <w:sz w:val="24"/>
          <w:szCs w:val="24"/>
        </w:rPr>
      </w:pPr>
      <w:r w:rsidRPr="002E1BC4">
        <w:rPr>
          <w:rFonts w:ascii="Times New Roman" w:hAnsi="Times New Roman"/>
          <w:spacing w:val="-1"/>
          <w:sz w:val="24"/>
          <w:szCs w:val="24"/>
        </w:rPr>
        <w:t xml:space="preserve">В 2017 году ожидается прирост ВРП на 3,62 процента по отношению к 2016 году. </w:t>
      </w:r>
      <w:r>
        <w:rPr>
          <w:rFonts w:ascii="Times New Roman" w:hAnsi="Times New Roman"/>
          <w:spacing w:val="-1"/>
          <w:sz w:val="24"/>
          <w:szCs w:val="24"/>
        </w:rPr>
        <w:br/>
      </w:r>
      <w:r w:rsidRPr="002E1BC4">
        <w:rPr>
          <w:rFonts w:ascii="Times New Roman" w:hAnsi="Times New Roman"/>
          <w:spacing w:val="-1"/>
          <w:sz w:val="24"/>
          <w:szCs w:val="24"/>
        </w:rPr>
        <w:t>В 2018-2020 годах п</w:t>
      </w:r>
      <w:r w:rsidRPr="002E1BC4">
        <w:rPr>
          <w:rFonts w:ascii="Times New Roman" w:hAnsi="Times New Roman"/>
          <w:bCs/>
          <w:sz w:val="24"/>
          <w:szCs w:val="24"/>
        </w:rPr>
        <w:t>рирост ВРП Амурской области прогнозируется с темпом</w:t>
      </w:r>
      <w:r w:rsidRPr="002E1BC4">
        <w:rPr>
          <w:rFonts w:ascii="Times New Roman" w:hAnsi="Times New Roman"/>
          <w:sz w:val="24"/>
          <w:szCs w:val="24"/>
        </w:rPr>
        <w:t xml:space="preserve">: </w:t>
      </w:r>
      <w:r>
        <w:rPr>
          <w:rFonts w:ascii="Times New Roman" w:hAnsi="Times New Roman"/>
          <w:sz w:val="24"/>
          <w:szCs w:val="24"/>
        </w:rPr>
        <w:br/>
      </w:r>
      <w:r w:rsidRPr="002E1BC4">
        <w:rPr>
          <w:rFonts w:ascii="Times New Roman" w:hAnsi="Times New Roman"/>
          <w:sz w:val="24"/>
          <w:szCs w:val="24"/>
        </w:rPr>
        <w:t>107,06 процента в 2018 году; 100,8 процента в 2019 году; 100,08 процента в 2020 году</w:t>
      </w:r>
      <w:r w:rsidRPr="002E1BC4">
        <w:rPr>
          <w:rFonts w:ascii="Times New Roman" w:hAnsi="Times New Roman"/>
          <w:bCs/>
          <w:sz w:val="24"/>
          <w:szCs w:val="24"/>
        </w:rPr>
        <w:t>.</w:t>
      </w:r>
    </w:p>
    <w:p w:rsidR="00B103F4" w:rsidRPr="002E1BC4" w:rsidRDefault="00B103F4" w:rsidP="00B103F4">
      <w:pPr>
        <w:widowControl w:val="0"/>
        <w:spacing w:after="0" w:line="240" w:lineRule="auto"/>
        <w:ind w:firstLine="680"/>
        <w:jc w:val="both"/>
        <w:rPr>
          <w:rFonts w:ascii="Times New Roman" w:hAnsi="Times New Roman"/>
          <w:bCs/>
          <w:sz w:val="24"/>
          <w:szCs w:val="24"/>
        </w:rPr>
      </w:pPr>
      <w:r w:rsidRPr="002E1BC4">
        <w:rPr>
          <w:rFonts w:ascii="Times New Roman" w:hAnsi="Times New Roman"/>
          <w:bCs/>
          <w:sz w:val="24"/>
          <w:szCs w:val="24"/>
        </w:rPr>
        <w:t xml:space="preserve">Индекс-дефлятор валового регионального продукта оценивается на 2017 год в размере 105,0 процентов, с последующим снижением в 2018 году до 103,4 процента. </w:t>
      </w:r>
      <w:r>
        <w:rPr>
          <w:rFonts w:ascii="Times New Roman" w:hAnsi="Times New Roman"/>
          <w:bCs/>
          <w:sz w:val="24"/>
          <w:szCs w:val="24"/>
        </w:rPr>
        <w:br/>
      </w:r>
      <w:r w:rsidRPr="002E1BC4">
        <w:rPr>
          <w:rFonts w:ascii="Times New Roman" w:hAnsi="Times New Roman"/>
          <w:bCs/>
          <w:sz w:val="24"/>
          <w:szCs w:val="24"/>
        </w:rPr>
        <w:t>В 2019-2020 годах данный показатель спрогнозирован на уровне индекса потребительских цен: 104,0 и 104,2 процента, соответственно.</w:t>
      </w:r>
    </w:p>
    <w:p w:rsidR="00B103F4" w:rsidRPr="002E1BC4" w:rsidRDefault="00B103F4" w:rsidP="00B103F4">
      <w:pPr>
        <w:widowControl w:val="0"/>
        <w:spacing w:after="0" w:line="240" w:lineRule="auto"/>
        <w:ind w:firstLine="680"/>
        <w:jc w:val="both"/>
        <w:rPr>
          <w:rFonts w:ascii="Times New Roman" w:hAnsi="Times New Roman"/>
          <w:bCs/>
          <w:sz w:val="24"/>
          <w:szCs w:val="24"/>
        </w:rPr>
      </w:pPr>
      <w:r w:rsidRPr="002E1BC4">
        <w:rPr>
          <w:rFonts w:ascii="Times New Roman" w:hAnsi="Times New Roman"/>
          <w:bCs/>
          <w:sz w:val="24"/>
          <w:szCs w:val="24"/>
        </w:rPr>
        <w:t>Из текста пояснительной записки следует, что рост ВРП обеспечат увеличение грузооборота транспорта и объемов строительства за счет реализации крупных инвестиционных проектов: трансграничного мостового перехода в районе городов Благовещенск (РФ) – Хэйхэ (КНР), магистрального газопровода «Сила Сибири», газоперерабатывающего завода.</w:t>
      </w:r>
    </w:p>
    <w:p w:rsidR="002E1BC4" w:rsidRPr="002E1BC4" w:rsidRDefault="002E1BC4" w:rsidP="002E1BC4">
      <w:pPr>
        <w:widowControl w:val="0"/>
        <w:spacing w:after="0" w:line="240" w:lineRule="auto"/>
        <w:ind w:firstLine="680"/>
        <w:jc w:val="both"/>
        <w:rPr>
          <w:rFonts w:ascii="Times New Roman" w:hAnsi="Times New Roman"/>
          <w:sz w:val="24"/>
          <w:szCs w:val="24"/>
          <w:highlight w:val="yellow"/>
        </w:rPr>
      </w:pPr>
    </w:p>
    <w:p w:rsidR="002E1BC4" w:rsidRPr="002E1BC4" w:rsidRDefault="002E1BC4" w:rsidP="002E1BC4">
      <w:pPr>
        <w:widowControl w:val="0"/>
        <w:spacing w:after="0" w:line="240" w:lineRule="auto"/>
        <w:jc w:val="center"/>
        <w:rPr>
          <w:rFonts w:ascii="Times New Roman" w:hAnsi="Times New Roman"/>
          <w:b/>
          <w:sz w:val="24"/>
          <w:szCs w:val="24"/>
          <w:highlight w:val="yellow"/>
        </w:rPr>
      </w:pPr>
      <w:r w:rsidRPr="002E1BC4">
        <w:rPr>
          <w:rFonts w:ascii="Times New Roman" w:hAnsi="Times New Roman"/>
          <w:noProof/>
          <w:sz w:val="28"/>
          <w:szCs w:val="28"/>
          <w:highlight w:val="yellow"/>
        </w:rPr>
        <w:lastRenderedPageBreak/>
        <w:drawing>
          <wp:inline distT="0" distB="0" distL="0" distR="0" wp14:anchorId="3B61942C" wp14:editId="297E3FF1">
            <wp:extent cx="6453963" cy="3051544"/>
            <wp:effectExtent l="0" t="0" r="4445"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03F4" w:rsidRDefault="00B103F4" w:rsidP="002E1BC4">
      <w:pPr>
        <w:widowControl w:val="0"/>
        <w:spacing w:after="0" w:line="240" w:lineRule="auto"/>
        <w:jc w:val="center"/>
        <w:rPr>
          <w:rFonts w:ascii="Times New Roman" w:hAnsi="Times New Roman"/>
          <w:b/>
          <w:sz w:val="24"/>
          <w:szCs w:val="24"/>
        </w:rPr>
      </w:pPr>
    </w:p>
    <w:p w:rsidR="002E1BC4" w:rsidRPr="002E1BC4" w:rsidRDefault="002E1BC4" w:rsidP="002E1BC4">
      <w:pPr>
        <w:widowControl w:val="0"/>
        <w:spacing w:after="0" w:line="240" w:lineRule="auto"/>
        <w:jc w:val="center"/>
        <w:rPr>
          <w:rFonts w:ascii="Times New Roman" w:hAnsi="Times New Roman"/>
          <w:b/>
          <w:sz w:val="24"/>
          <w:szCs w:val="24"/>
        </w:rPr>
      </w:pPr>
      <w:r w:rsidRPr="002E1BC4">
        <w:rPr>
          <w:rFonts w:ascii="Times New Roman" w:hAnsi="Times New Roman"/>
          <w:b/>
          <w:sz w:val="24"/>
          <w:szCs w:val="24"/>
        </w:rPr>
        <w:t xml:space="preserve">Рис. 4 – Данные об объемах ВРП, темпах роста ВРП и индексах-дефляторах ВРП </w:t>
      </w:r>
      <w:r w:rsidRPr="002E1BC4">
        <w:rPr>
          <w:rFonts w:ascii="Times New Roman" w:hAnsi="Times New Roman"/>
          <w:b/>
          <w:sz w:val="24"/>
          <w:szCs w:val="24"/>
        </w:rPr>
        <w:br/>
        <w:t>в 2016-2020 годах</w:t>
      </w:r>
    </w:p>
    <w:p w:rsidR="00B103F4" w:rsidRDefault="00B103F4" w:rsidP="002E1BC4">
      <w:pPr>
        <w:widowControl w:val="0"/>
        <w:spacing w:after="0" w:line="240" w:lineRule="auto"/>
        <w:ind w:firstLine="680"/>
        <w:jc w:val="both"/>
        <w:rPr>
          <w:rFonts w:ascii="Times New Roman" w:hAnsi="Times New Roman"/>
          <w:sz w:val="24"/>
          <w:szCs w:val="24"/>
        </w:rPr>
      </w:pPr>
    </w:p>
    <w:p w:rsidR="002E1BC4" w:rsidRPr="002E1BC4" w:rsidRDefault="002E1BC4" w:rsidP="00B103F4">
      <w:pPr>
        <w:widowControl w:val="0"/>
        <w:spacing w:after="0" w:line="288" w:lineRule="auto"/>
        <w:ind w:firstLine="680"/>
        <w:jc w:val="both"/>
      </w:pPr>
      <w:r w:rsidRPr="002E1BC4">
        <w:rPr>
          <w:rFonts w:ascii="Times New Roman" w:hAnsi="Times New Roman"/>
          <w:sz w:val="24"/>
          <w:szCs w:val="24"/>
        </w:rPr>
        <w:t xml:space="preserve">В рамках базового сценария </w:t>
      </w:r>
      <w:r w:rsidRPr="002E1BC4">
        <w:rPr>
          <w:rFonts w:ascii="Times New Roman" w:hAnsi="Times New Roman"/>
          <w:bCs/>
          <w:sz w:val="24"/>
          <w:szCs w:val="24"/>
        </w:rPr>
        <w:t>прогноза социально-экономического развития Российской Федерации</w:t>
      </w:r>
      <w:r w:rsidRPr="002E1BC4">
        <w:rPr>
          <w:rFonts w:ascii="Times New Roman" w:hAnsi="Times New Roman"/>
          <w:sz w:val="24"/>
          <w:szCs w:val="24"/>
        </w:rPr>
        <w:t xml:space="preserve"> на 2018 год и на плановый период 2019 и 2020 годов прогнозируется постепенное увеличение темпов роста ВВП России с 2,1 процента в 2017 году до 2,3 процента к 2020 году за счет увеличения инвестиций в основной капитал,</w:t>
      </w:r>
      <w:r w:rsidRPr="002E1BC4">
        <w:t xml:space="preserve"> </w:t>
      </w:r>
      <w:r w:rsidRPr="002E1BC4">
        <w:rPr>
          <w:rFonts w:ascii="Times New Roman" w:hAnsi="Times New Roman"/>
          <w:sz w:val="24"/>
          <w:szCs w:val="24"/>
        </w:rPr>
        <w:t>средний темп роста которых в 2018 - 2020 годах ожидается на уровне 5,3 процента в среднем за год.</w:t>
      </w:r>
      <w:r w:rsidRPr="002E1BC4">
        <w:t xml:space="preserve"> </w:t>
      </w:r>
    </w:p>
    <w:p w:rsidR="002E1BC4" w:rsidRPr="002E1BC4" w:rsidRDefault="002E1BC4" w:rsidP="00B103F4">
      <w:pPr>
        <w:widowControl w:val="0"/>
        <w:spacing w:after="0" w:line="288" w:lineRule="auto"/>
        <w:ind w:firstLine="680"/>
        <w:jc w:val="both"/>
        <w:rPr>
          <w:rFonts w:ascii="Times New Roman" w:hAnsi="Times New Roman"/>
          <w:sz w:val="24"/>
          <w:szCs w:val="24"/>
        </w:rPr>
      </w:pPr>
      <w:r w:rsidRPr="002E1BC4">
        <w:rPr>
          <w:rFonts w:ascii="Times New Roman" w:hAnsi="Times New Roman"/>
          <w:sz w:val="24"/>
          <w:szCs w:val="24"/>
        </w:rPr>
        <w:t xml:space="preserve">В разрезе видов экономической деятельности драйвером роста в 2018 - 2020 годах будет обрабатывающая промышленность. Прежде всего, те отрасли, которые </w:t>
      </w:r>
      <w:r>
        <w:rPr>
          <w:rFonts w:ascii="Times New Roman" w:hAnsi="Times New Roman"/>
          <w:sz w:val="24"/>
          <w:szCs w:val="24"/>
        </w:rPr>
        <w:br/>
      </w:r>
      <w:r w:rsidRPr="002E1BC4">
        <w:rPr>
          <w:rFonts w:ascii="Times New Roman" w:hAnsi="Times New Roman"/>
          <w:sz w:val="24"/>
          <w:szCs w:val="24"/>
        </w:rPr>
        <w:t>в 2015-2016 годах получили значительные конкурентные преимущества - химический комплекс, пищевая и легкая промышленность, а также инвестиционно-ориентированные отрасли - производство строительных материалов и машиностроение.</w:t>
      </w:r>
    </w:p>
    <w:p w:rsidR="002E1BC4" w:rsidRPr="002E1BC4" w:rsidRDefault="002E1BC4" w:rsidP="00B103F4">
      <w:pPr>
        <w:spacing w:after="0" w:line="288" w:lineRule="auto"/>
        <w:ind w:firstLine="720"/>
        <w:jc w:val="both"/>
        <w:rPr>
          <w:rFonts w:ascii="Times New Roman" w:hAnsi="Times New Roman"/>
          <w:spacing w:val="-1"/>
          <w:sz w:val="24"/>
          <w:szCs w:val="24"/>
          <w:highlight w:val="yellow"/>
        </w:rPr>
      </w:pPr>
      <w:r w:rsidRPr="002E1BC4">
        <w:rPr>
          <w:rFonts w:ascii="Times New Roman" w:hAnsi="Times New Roman"/>
          <w:spacing w:val="-1"/>
          <w:sz w:val="24"/>
          <w:szCs w:val="24"/>
        </w:rPr>
        <w:t xml:space="preserve">Доминирующим видом экономической деятельности в структуре ВРП Амурской области является транспорт и связь, удельный вес в ВРП составляет </w:t>
      </w:r>
      <w:r w:rsidRPr="002E1BC4">
        <w:rPr>
          <w:rFonts w:ascii="Times New Roman" w:hAnsi="Times New Roman"/>
          <w:spacing w:val="-1"/>
          <w:sz w:val="24"/>
          <w:szCs w:val="24"/>
        </w:rPr>
        <w:br/>
        <w:t xml:space="preserve">17,4 процента. Значительный удельный вес также занимает добыча полезных ископаемых – 16,5 процента, строительство – 11,6 процента, оптовая и розничная торговля – 11,2 процента. </w:t>
      </w:r>
    </w:p>
    <w:p w:rsidR="002E1BC4" w:rsidRPr="002E1BC4" w:rsidRDefault="002E1BC4" w:rsidP="00B103F4">
      <w:pPr>
        <w:widowControl w:val="0"/>
        <w:spacing w:after="0" w:line="288" w:lineRule="auto"/>
        <w:ind w:firstLine="709"/>
        <w:jc w:val="both"/>
        <w:rPr>
          <w:rFonts w:ascii="Times New Roman" w:hAnsi="Times New Roman"/>
          <w:b/>
          <w:i/>
          <w:sz w:val="24"/>
          <w:szCs w:val="24"/>
        </w:rPr>
      </w:pPr>
      <w:r w:rsidRPr="002E1BC4">
        <w:rPr>
          <w:rFonts w:ascii="Times New Roman" w:hAnsi="Times New Roman"/>
          <w:b/>
          <w:i/>
          <w:sz w:val="24"/>
          <w:szCs w:val="24"/>
        </w:rPr>
        <w:t>Контрольно-счетная палата Амурской области отмечает, что в тексте пояснительной записки в части описания прогнозируемого развития валового регионального продукта, промышленных производств, с приведением по тексту числовых значений показателя «индекс производства» по разделу видов деятельности «Обеспечение электрической энергией, газом и паром; кондиционирование воздуха» использовано наименование «работы и услуги по производству и распределению электроэнергии, газа и воды», в то время как в таблице с прогнозными показателями в разделе 2.3 «Промышленное производство» такое наименование отсутствует.</w:t>
      </w:r>
    </w:p>
    <w:p w:rsidR="002E1BC4" w:rsidRDefault="002E1BC4" w:rsidP="00B103F4">
      <w:pPr>
        <w:widowControl w:val="0"/>
        <w:spacing w:after="0" w:line="288" w:lineRule="auto"/>
        <w:ind w:firstLine="709"/>
        <w:jc w:val="both"/>
        <w:rPr>
          <w:rFonts w:ascii="Times New Roman" w:hAnsi="Times New Roman"/>
          <w:sz w:val="24"/>
          <w:szCs w:val="24"/>
        </w:rPr>
      </w:pPr>
      <w:r w:rsidRPr="002E1BC4">
        <w:rPr>
          <w:rFonts w:ascii="Times New Roman" w:hAnsi="Times New Roman"/>
          <w:sz w:val="24"/>
          <w:szCs w:val="24"/>
        </w:rPr>
        <w:t>Динамика индексов производства в 2016-2020 годах по укрупненным видам деятельности представлена в таблице 1.</w:t>
      </w:r>
    </w:p>
    <w:p w:rsidR="00B103F4" w:rsidRPr="002E1BC4" w:rsidRDefault="00B103F4" w:rsidP="00B103F4">
      <w:pPr>
        <w:widowControl w:val="0"/>
        <w:spacing w:after="0" w:line="288" w:lineRule="auto"/>
        <w:ind w:firstLine="709"/>
        <w:jc w:val="both"/>
        <w:rPr>
          <w:rFonts w:ascii="Times New Roman" w:hAnsi="Times New Roman"/>
          <w:sz w:val="24"/>
          <w:szCs w:val="24"/>
        </w:rPr>
      </w:pPr>
      <w:r w:rsidRPr="002E1BC4">
        <w:rPr>
          <w:rFonts w:ascii="Times New Roman" w:hAnsi="Times New Roman"/>
          <w:sz w:val="24"/>
          <w:szCs w:val="24"/>
        </w:rPr>
        <w:t>По оценке 2017 года индекс промышленного производства Амурской области составит 94,3 процента по сравнению с 2016 годом.</w:t>
      </w:r>
    </w:p>
    <w:p w:rsidR="002E1BC4" w:rsidRPr="002E1BC4" w:rsidRDefault="002E1BC4" w:rsidP="002E1BC4">
      <w:pPr>
        <w:widowControl w:val="0"/>
        <w:spacing w:after="0" w:line="240" w:lineRule="auto"/>
        <w:ind w:firstLine="709"/>
        <w:jc w:val="right"/>
        <w:rPr>
          <w:rFonts w:ascii="Times New Roman" w:hAnsi="Times New Roman"/>
          <w:sz w:val="24"/>
          <w:szCs w:val="24"/>
        </w:rPr>
      </w:pPr>
      <w:r w:rsidRPr="002E1BC4">
        <w:rPr>
          <w:rFonts w:ascii="Times New Roman" w:hAnsi="Times New Roman"/>
          <w:sz w:val="24"/>
          <w:szCs w:val="24"/>
        </w:rPr>
        <w:lastRenderedPageBreak/>
        <w:t>Таблица 1</w:t>
      </w:r>
    </w:p>
    <w:p w:rsidR="002E1BC4" w:rsidRPr="002E1BC4" w:rsidRDefault="002E1BC4" w:rsidP="002E1BC4">
      <w:pPr>
        <w:widowControl w:val="0"/>
        <w:spacing w:after="0" w:line="240" w:lineRule="auto"/>
        <w:jc w:val="center"/>
        <w:rPr>
          <w:rFonts w:ascii="Times New Roman" w:hAnsi="Times New Roman"/>
          <w:b/>
          <w:sz w:val="24"/>
          <w:szCs w:val="24"/>
        </w:rPr>
      </w:pPr>
      <w:r w:rsidRPr="002E1BC4">
        <w:rPr>
          <w:rFonts w:ascii="Times New Roman" w:hAnsi="Times New Roman"/>
          <w:b/>
          <w:sz w:val="24"/>
          <w:szCs w:val="24"/>
        </w:rPr>
        <w:t xml:space="preserve">Динамика индексов производства в 2016-2020 годах по укрупненным видам деятельности </w:t>
      </w:r>
    </w:p>
    <w:p w:rsidR="002E1BC4" w:rsidRPr="002E1BC4" w:rsidRDefault="002E1BC4" w:rsidP="002E1BC4">
      <w:pPr>
        <w:widowControl w:val="0"/>
        <w:spacing w:after="0" w:line="240" w:lineRule="auto"/>
        <w:ind w:firstLine="709"/>
        <w:jc w:val="both"/>
        <w:rPr>
          <w:rFonts w:ascii="Times New Roman" w:hAnsi="Times New Roman"/>
          <w:sz w:val="24"/>
          <w:szCs w:val="24"/>
        </w:rPr>
      </w:pPr>
    </w:p>
    <w:tbl>
      <w:tblPr>
        <w:tblStyle w:val="a5"/>
        <w:tblW w:w="4951" w:type="pct"/>
        <w:tblLayout w:type="fixed"/>
        <w:tblLook w:val="04A0" w:firstRow="1" w:lastRow="0" w:firstColumn="1" w:lastColumn="0" w:noHBand="0" w:noVBand="1"/>
      </w:tblPr>
      <w:tblGrid>
        <w:gridCol w:w="3661"/>
        <w:gridCol w:w="1222"/>
        <w:gridCol w:w="1221"/>
        <w:gridCol w:w="1221"/>
        <w:gridCol w:w="1221"/>
        <w:gridCol w:w="1210"/>
      </w:tblGrid>
      <w:tr w:rsidR="002E1BC4" w:rsidRPr="00B103F4" w:rsidTr="00E220E3">
        <w:trPr>
          <w:trHeight w:val="300"/>
        </w:trPr>
        <w:tc>
          <w:tcPr>
            <w:tcW w:w="1876"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Наименование показателя</w:t>
            </w:r>
          </w:p>
        </w:tc>
        <w:tc>
          <w:tcPr>
            <w:tcW w:w="626"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2016</w:t>
            </w:r>
          </w:p>
        </w:tc>
        <w:tc>
          <w:tcPr>
            <w:tcW w:w="626"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2017 (оценка)</w:t>
            </w:r>
          </w:p>
        </w:tc>
        <w:tc>
          <w:tcPr>
            <w:tcW w:w="626"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2018 (прогноз)</w:t>
            </w:r>
          </w:p>
        </w:tc>
        <w:tc>
          <w:tcPr>
            <w:tcW w:w="626"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2019 (прогноз)</w:t>
            </w:r>
          </w:p>
        </w:tc>
        <w:tc>
          <w:tcPr>
            <w:tcW w:w="620" w:type="pct"/>
            <w:noWrap/>
            <w:hideMark/>
          </w:tcPr>
          <w:p w:rsidR="002E1BC4" w:rsidRPr="00B103F4" w:rsidRDefault="002E1BC4" w:rsidP="002E1BC4">
            <w:pPr>
              <w:widowControl w:val="0"/>
              <w:jc w:val="center"/>
              <w:rPr>
                <w:rFonts w:ascii="Times New Roman" w:hAnsi="Times New Roman"/>
                <w:b/>
              </w:rPr>
            </w:pPr>
            <w:r w:rsidRPr="00B103F4">
              <w:rPr>
                <w:rFonts w:ascii="Times New Roman" w:hAnsi="Times New Roman"/>
                <w:b/>
              </w:rPr>
              <w:t>2020 (прогноз)</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промышленного производства по России</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101,3</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102,1</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102,5</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102,5</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102,5</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промышленного производства по Амурской области</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91,7</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94,3</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100,2</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100,4</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105,0</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производства по разделу «Добыча полезных ископаемых»</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87,3</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102,8</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100,3</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100,2</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100,0</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производства по разделу «Обрабатывающие производства»</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71,8</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91,4</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100,6</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100,9</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102,0</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производства по разделу «Обеспечение электрической энергией, газом и паром; кондиционирование воздуха»</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121,2</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87,1</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100,23</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100,0</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121,43</w:t>
            </w:r>
          </w:p>
        </w:tc>
      </w:tr>
      <w:tr w:rsidR="002E1BC4" w:rsidRPr="002E1BC4" w:rsidTr="00E220E3">
        <w:trPr>
          <w:trHeight w:val="300"/>
        </w:trPr>
        <w:tc>
          <w:tcPr>
            <w:tcW w:w="1876" w:type="pct"/>
            <w:noWrap/>
          </w:tcPr>
          <w:p w:rsidR="002E1BC4" w:rsidRPr="002E1BC4" w:rsidRDefault="002E1BC4" w:rsidP="002E1BC4">
            <w:pPr>
              <w:widowControl w:val="0"/>
              <w:rPr>
                <w:rFonts w:ascii="Times New Roman" w:hAnsi="Times New Roman"/>
              </w:rPr>
            </w:pPr>
            <w:r w:rsidRPr="002E1BC4">
              <w:rPr>
                <w:rFonts w:ascii="Times New Roman" w:hAnsi="Times New Roman"/>
              </w:rPr>
              <w:t>Индекс производства по разделу «Водоснабжение, водоотведение, организация сбора и утилизации отходов, деятельность по ликвидации загрязнений»</w:t>
            </w:r>
          </w:p>
        </w:tc>
        <w:tc>
          <w:tcPr>
            <w:tcW w:w="626" w:type="pct"/>
            <w:noWrap/>
            <w:vAlign w:val="center"/>
          </w:tcPr>
          <w:p w:rsidR="002E1BC4" w:rsidRPr="002E1BC4" w:rsidRDefault="002E1BC4" w:rsidP="002E1BC4">
            <w:pPr>
              <w:widowControl w:val="0"/>
              <w:jc w:val="center"/>
              <w:rPr>
                <w:rFonts w:ascii="Times New Roman" w:hAnsi="Times New Roman"/>
              </w:rPr>
            </w:pPr>
            <w:r w:rsidRPr="002E1BC4">
              <w:rPr>
                <w:rFonts w:ascii="Times New Roman" w:hAnsi="Times New Roman"/>
              </w:rPr>
              <w:t xml:space="preserve"> - </w:t>
            </w:r>
          </w:p>
        </w:tc>
        <w:tc>
          <w:tcPr>
            <w:tcW w:w="626" w:type="pct"/>
            <w:noWrap/>
            <w:vAlign w:val="center"/>
          </w:tcPr>
          <w:p w:rsidR="002E1BC4" w:rsidRPr="002E1BC4" w:rsidRDefault="002E1BC4" w:rsidP="002E1BC4">
            <w:pPr>
              <w:widowControl w:val="0"/>
              <w:jc w:val="center"/>
              <w:rPr>
                <w:rFonts w:ascii="Times New Roman" w:hAnsi="Times New Roman"/>
              </w:rPr>
            </w:pPr>
            <w:r w:rsidRPr="002E1BC4">
              <w:rPr>
                <w:rFonts w:ascii="Times New Roman" w:hAnsi="Times New Roman"/>
              </w:rPr>
              <w:t>98,6</w:t>
            </w:r>
          </w:p>
        </w:tc>
        <w:tc>
          <w:tcPr>
            <w:tcW w:w="626" w:type="pct"/>
            <w:noWrap/>
            <w:vAlign w:val="center"/>
          </w:tcPr>
          <w:p w:rsidR="002E1BC4" w:rsidRPr="002E1BC4" w:rsidRDefault="002E1BC4" w:rsidP="002E1BC4">
            <w:pPr>
              <w:widowControl w:val="0"/>
              <w:jc w:val="center"/>
              <w:rPr>
                <w:rFonts w:ascii="Times New Roman" w:hAnsi="Times New Roman"/>
              </w:rPr>
            </w:pPr>
            <w:r w:rsidRPr="002E1BC4">
              <w:rPr>
                <w:rFonts w:ascii="Times New Roman" w:hAnsi="Times New Roman"/>
              </w:rPr>
              <w:t>100,0</w:t>
            </w:r>
          </w:p>
        </w:tc>
        <w:tc>
          <w:tcPr>
            <w:tcW w:w="626" w:type="pct"/>
            <w:noWrap/>
            <w:vAlign w:val="center"/>
          </w:tcPr>
          <w:p w:rsidR="002E1BC4" w:rsidRPr="002E1BC4" w:rsidRDefault="002E1BC4" w:rsidP="002E1BC4">
            <w:pPr>
              <w:widowControl w:val="0"/>
              <w:jc w:val="center"/>
              <w:rPr>
                <w:rFonts w:ascii="Times New Roman" w:hAnsi="Times New Roman"/>
              </w:rPr>
            </w:pPr>
            <w:r w:rsidRPr="002E1BC4">
              <w:rPr>
                <w:rFonts w:ascii="Times New Roman" w:hAnsi="Times New Roman"/>
              </w:rPr>
              <w:t>100,03</w:t>
            </w:r>
          </w:p>
        </w:tc>
        <w:tc>
          <w:tcPr>
            <w:tcW w:w="620" w:type="pct"/>
            <w:noWrap/>
            <w:vAlign w:val="center"/>
          </w:tcPr>
          <w:p w:rsidR="002E1BC4" w:rsidRPr="002E1BC4" w:rsidRDefault="002E1BC4" w:rsidP="002E1BC4">
            <w:pPr>
              <w:widowControl w:val="0"/>
              <w:jc w:val="center"/>
              <w:rPr>
                <w:rFonts w:ascii="Times New Roman" w:hAnsi="Times New Roman"/>
              </w:rPr>
            </w:pPr>
            <w:r w:rsidRPr="002E1BC4">
              <w:rPr>
                <w:rFonts w:ascii="Times New Roman" w:hAnsi="Times New Roman"/>
              </w:rPr>
              <w:t>100,05</w:t>
            </w:r>
          </w:p>
        </w:tc>
      </w:tr>
      <w:tr w:rsidR="002E1BC4" w:rsidRPr="002E1BC4" w:rsidTr="00E220E3">
        <w:trPr>
          <w:trHeight w:val="300"/>
        </w:trPr>
        <w:tc>
          <w:tcPr>
            <w:tcW w:w="1876" w:type="pct"/>
            <w:noWrap/>
            <w:hideMark/>
          </w:tcPr>
          <w:p w:rsidR="002E1BC4" w:rsidRPr="002E1BC4" w:rsidRDefault="002E1BC4" w:rsidP="002E1BC4">
            <w:pPr>
              <w:widowControl w:val="0"/>
              <w:rPr>
                <w:rFonts w:ascii="Times New Roman" w:hAnsi="Times New Roman"/>
              </w:rPr>
            </w:pPr>
            <w:r w:rsidRPr="002E1BC4">
              <w:rPr>
                <w:rFonts w:ascii="Times New Roman" w:hAnsi="Times New Roman"/>
              </w:rPr>
              <w:t>Индекс производства продукции сельского хозяйства</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97,8</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99,31</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101,62</w:t>
            </w:r>
          </w:p>
        </w:tc>
        <w:tc>
          <w:tcPr>
            <w:tcW w:w="626"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101,7</w:t>
            </w:r>
          </w:p>
        </w:tc>
        <w:tc>
          <w:tcPr>
            <w:tcW w:w="620" w:type="pct"/>
            <w:noWrap/>
            <w:vAlign w:val="center"/>
            <w:hideMark/>
          </w:tcPr>
          <w:p w:rsidR="002E1BC4" w:rsidRPr="002E1BC4" w:rsidRDefault="002E1BC4" w:rsidP="002E1BC4">
            <w:pPr>
              <w:widowControl w:val="0"/>
              <w:jc w:val="center"/>
              <w:rPr>
                <w:rFonts w:ascii="Times New Roman" w:hAnsi="Times New Roman"/>
              </w:rPr>
            </w:pPr>
            <w:r w:rsidRPr="002E1BC4">
              <w:rPr>
                <w:rFonts w:ascii="Times New Roman" w:hAnsi="Times New Roman"/>
              </w:rPr>
              <w:t>101,71</w:t>
            </w:r>
          </w:p>
        </w:tc>
      </w:tr>
    </w:tbl>
    <w:p w:rsidR="002E1BC4" w:rsidRDefault="002E1BC4" w:rsidP="002E1BC4">
      <w:pPr>
        <w:widowControl w:val="0"/>
        <w:spacing w:after="0" w:line="240" w:lineRule="auto"/>
        <w:ind w:firstLine="709"/>
        <w:jc w:val="both"/>
        <w:rPr>
          <w:rFonts w:ascii="Times New Roman" w:hAnsi="Times New Roman"/>
          <w:sz w:val="24"/>
          <w:szCs w:val="24"/>
        </w:rPr>
      </w:pPr>
    </w:p>
    <w:p w:rsidR="002E1BC4" w:rsidRPr="002E1BC4" w:rsidRDefault="002E1BC4" w:rsidP="002E1BC4">
      <w:pPr>
        <w:widowControl w:val="0"/>
        <w:spacing w:after="0" w:line="240" w:lineRule="auto"/>
        <w:ind w:firstLine="709"/>
        <w:jc w:val="both"/>
        <w:rPr>
          <w:rFonts w:ascii="Times New Roman" w:hAnsi="Times New Roman"/>
          <w:b/>
          <w:i/>
          <w:sz w:val="24"/>
          <w:szCs w:val="24"/>
        </w:rPr>
      </w:pPr>
      <w:r w:rsidRPr="002E1BC4">
        <w:rPr>
          <w:rFonts w:ascii="Times New Roman" w:hAnsi="Times New Roman"/>
          <w:sz w:val="24"/>
          <w:szCs w:val="24"/>
        </w:rPr>
        <w:t xml:space="preserve">В прогнозируемом периоде ожидается незначительный прирост индекса промышленного производства, за исключением 2020 года. Темп роста индекса промышленного производства согласно прогнозу составит: в 2018 году – 100,2 процента; в 2019 году – 100,4 процента; в 2020 году – 105,0 процентов. </w:t>
      </w:r>
      <w:r w:rsidRPr="002E1BC4">
        <w:rPr>
          <w:rFonts w:ascii="Times New Roman" w:hAnsi="Times New Roman"/>
          <w:b/>
          <w:i/>
          <w:sz w:val="24"/>
          <w:szCs w:val="24"/>
        </w:rPr>
        <w:t>В тексте пояснительной записки не приведено обоснование</w:t>
      </w:r>
      <w:r w:rsidRPr="002E1BC4">
        <w:rPr>
          <w:rFonts w:ascii="Times New Roman" w:hAnsi="Times New Roman"/>
          <w:sz w:val="24"/>
          <w:szCs w:val="24"/>
        </w:rPr>
        <w:t xml:space="preserve"> </w:t>
      </w:r>
      <w:r w:rsidRPr="002E1BC4">
        <w:rPr>
          <w:rFonts w:ascii="Times New Roman" w:hAnsi="Times New Roman"/>
          <w:b/>
          <w:i/>
          <w:sz w:val="24"/>
          <w:szCs w:val="24"/>
        </w:rPr>
        <w:t xml:space="preserve">роста индекса промышленного производства в </w:t>
      </w:r>
      <w:r>
        <w:rPr>
          <w:rFonts w:ascii="Times New Roman" w:hAnsi="Times New Roman"/>
          <w:b/>
          <w:i/>
          <w:sz w:val="24"/>
          <w:szCs w:val="24"/>
        </w:rPr>
        <w:br/>
      </w:r>
      <w:r w:rsidRPr="002E1BC4">
        <w:rPr>
          <w:rFonts w:ascii="Times New Roman" w:hAnsi="Times New Roman"/>
          <w:b/>
          <w:i/>
          <w:sz w:val="24"/>
          <w:szCs w:val="24"/>
        </w:rPr>
        <w:t>2020 году на 5,0 процентов относительно 2019 года, а также динамики индекса производства по разделу «Обеспечение электрической энергией, газом и паром; кондиционирование воздуха» в 2020 году относительно 2019 года.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 структуре отгруженной продукции промышленного производства добыча полезных ископаемых в 2017 году составляет 50,3 процента, что обуславливает значительное влияние колебаний индекса промышленного производства по данному виду экономической деятельности на динамику показателя в целом по области.</w:t>
      </w:r>
    </w:p>
    <w:p w:rsidR="002E1BC4" w:rsidRPr="002E1BC4" w:rsidRDefault="002E1BC4" w:rsidP="002E1BC4">
      <w:pPr>
        <w:widowControl w:val="0"/>
        <w:spacing w:after="0" w:line="240" w:lineRule="auto"/>
        <w:ind w:firstLine="709"/>
        <w:jc w:val="both"/>
      </w:pPr>
      <w:r w:rsidRPr="002E1BC4">
        <w:rPr>
          <w:rFonts w:ascii="Times New Roman" w:hAnsi="Times New Roman"/>
          <w:sz w:val="24"/>
          <w:szCs w:val="24"/>
        </w:rPr>
        <w:t>В течение 2018-2020 годов прогнозируется, что значения индекса производства по разделу «Добыча полезных ископаемых» будут оставаться на уровне 100,0-100,3 процента.</w:t>
      </w:r>
      <w:r w:rsidRPr="002E1BC4">
        <w:t xml:space="preserve"> </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Общий спад добычи золота обусловлен ухудшением состояния сырьевой базы месторождений Пионер и Маломырское.</w:t>
      </w:r>
      <w:r w:rsidRPr="002E1BC4">
        <w:t xml:space="preserve"> </w:t>
      </w:r>
      <w:r w:rsidRPr="002E1BC4">
        <w:rPr>
          <w:rFonts w:ascii="Times New Roman" w:hAnsi="Times New Roman"/>
          <w:sz w:val="24"/>
          <w:szCs w:val="24"/>
        </w:rPr>
        <w:t xml:space="preserve">Из-за падения цен на железорудное сырье в </w:t>
      </w:r>
      <w:r w:rsidRPr="002E1BC4">
        <w:rPr>
          <w:rFonts w:ascii="Times New Roman" w:hAnsi="Times New Roman"/>
          <w:sz w:val="24"/>
          <w:szCs w:val="24"/>
        </w:rPr>
        <w:br/>
        <w:t>2016 году снижены объемы</w:t>
      </w:r>
      <w:r w:rsidR="00EF08A3">
        <w:rPr>
          <w:rFonts w:ascii="Times New Roman" w:hAnsi="Times New Roman"/>
          <w:sz w:val="24"/>
          <w:szCs w:val="24"/>
        </w:rPr>
        <w:t xml:space="preserve"> добычи на Олекминском руднике.</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Объемы золотодобычи в 2018-2020 годах прогнозируются на уровне </w:t>
      </w:r>
      <w:r w:rsidRPr="002E1BC4">
        <w:rPr>
          <w:rFonts w:ascii="Times New Roman" w:hAnsi="Times New Roman"/>
          <w:sz w:val="24"/>
          <w:szCs w:val="24"/>
        </w:rPr>
        <w:br/>
        <w:t xml:space="preserve">23,0 тонны ежегодно. Объем добычи угля в 2018-2020 годах оценивается в объеме </w:t>
      </w:r>
      <w:r w:rsidRPr="002E1BC4">
        <w:rPr>
          <w:rFonts w:ascii="Times New Roman" w:hAnsi="Times New Roman"/>
          <w:sz w:val="24"/>
          <w:szCs w:val="24"/>
        </w:rPr>
        <w:br/>
        <w:t>3,32–3,42 млн. тонн ежегодно.</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Второе место в структуре отгруженной продукции промышленности занимают обрабатывающие производства (23,1 процента), основной удельный вес в структуре которых занимает производство пищевых продуктов (73,8 процента).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 2018-2020 годах в производстве пищевых продуктов прогнозируется рост объема отгруженных товаров с 19,1 млрд. рублей до 22,3 млрд. рублей. Увеличится выпуск масла и шрота соевого, цельномолочной продукции, сыров и творога, масла сливочного, мяса и субпродуктов, комбико</w:t>
      </w:r>
      <w:r w:rsidR="00EF08A3">
        <w:rPr>
          <w:rFonts w:ascii="Times New Roman" w:hAnsi="Times New Roman"/>
          <w:sz w:val="24"/>
          <w:szCs w:val="24"/>
        </w:rPr>
        <w:t>рмов, макаронных изделий, пива.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Согласно пояснительной записке к прогнозу, наращиванию объемов производства </w:t>
      </w:r>
      <w:r w:rsidRPr="002E1BC4">
        <w:rPr>
          <w:rFonts w:ascii="Times New Roman" w:hAnsi="Times New Roman"/>
          <w:sz w:val="24"/>
          <w:szCs w:val="24"/>
        </w:rPr>
        <w:lastRenderedPageBreak/>
        <w:t>пищевой продукции будет способствовать проведение модернизации действующих и создание новых мощностей пищевых предприятий области</w:t>
      </w:r>
      <w:r w:rsidRPr="002E1BC4">
        <w:t xml:space="preserve"> </w:t>
      </w:r>
      <w:r w:rsidRPr="002E1BC4">
        <w:rPr>
          <w:rFonts w:ascii="Times New Roman" w:hAnsi="Times New Roman"/>
          <w:sz w:val="24"/>
          <w:szCs w:val="24"/>
        </w:rPr>
        <w:t xml:space="preserve">ООО «Амурский бройлер», </w:t>
      </w:r>
      <w:r w:rsidRPr="002E1BC4">
        <w:rPr>
          <w:rFonts w:ascii="Times New Roman" w:hAnsi="Times New Roman"/>
          <w:sz w:val="24"/>
          <w:szCs w:val="24"/>
        </w:rPr>
        <w:br/>
        <w:t xml:space="preserve">ОАО «Хладокомбинат», ОАО «Молочный комбинат Благовещенский», </w:t>
      </w:r>
      <w:r w:rsidRPr="002E1BC4">
        <w:rPr>
          <w:rFonts w:ascii="Times New Roman" w:hAnsi="Times New Roman"/>
          <w:sz w:val="24"/>
          <w:szCs w:val="24"/>
        </w:rPr>
        <w:br/>
        <w:t>ОАО «Благовещенская кондитерская фабрика «Зея». В 2017 году продолжится реализация инвестиционных проектов в масложировой промышленности ООО «Кр</w:t>
      </w:r>
      <w:r w:rsidR="00EF08A3">
        <w:rPr>
          <w:rFonts w:ascii="Times New Roman" w:hAnsi="Times New Roman"/>
          <w:sz w:val="24"/>
          <w:szCs w:val="24"/>
        </w:rPr>
        <w:t xml:space="preserve">асная звезда» и </w:t>
      </w:r>
      <w:r w:rsidR="00EF08A3">
        <w:rPr>
          <w:rFonts w:ascii="Times New Roman" w:hAnsi="Times New Roman"/>
          <w:sz w:val="24"/>
          <w:szCs w:val="24"/>
        </w:rPr>
        <w:br/>
        <w:t>ООО «Соя АНК».</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Кроме того, в рамках территории опережающего социально-экономического развития «Белогорск» планируется завершение строительства завода по глубокой переработке сои (ООО «Маслоэкстракционный завод «Амурский»).</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В целом, по оценке, в 2017 году предприятиями обрабатывающих производств будет отгружено товаров собственного производства, выполнено работ и услуг на сумму </w:t>
      </w:r>
      <w:r w:rsidRPr="002E1BC4">
        <w:rPr>
          <w:rFonts w:ascii="Times New Roman" w:hAnsi="Times New Roman"/>
          <w:sz w:val="24"/>
          <w:szCs w:val="24"/>
        </w:rPr>
        <w:br/>
        <w:t>25,9 млрд. рублей, что на 2,8 процента ниже уровня 2016 года. Индекс производства в обрабатывающих производствах по оценке в 2017 году составит 91,4 процента.</w:t>
      </w:r>
    </w:p>
    <w:p w:rsidR="002E1BC4" w:rsidRPr="002E1BC4" w:rsidRDefault="002E1BC4" w:rsidP="002E1BC4">
      <w:pPr>
        <w:widowControl w:val="0"/>
        <w:spacing w:after="0" w:line="240" w:lineRule="auto"/>
        <w:ind w:firstLine="709"/>
        <w:jc w:val="both"/>
        <w:rPr>
          <w:rFonts w:ascii="Times New Roman" w:hAnsi="Times New Roman"/>
          <w:sz w:val="24"/>
          <w:szCs w:val="24"/>
          <w:highlight w:val="yellow"/>
        </w:rPr>
      </w:pPr>
      <w:r w:rsidRPr="002E1BC4">
        <w:rPr>
          <w:rFonts w:ascii="Times New Roman" w:hAnsi="Times New Roman"/>
          <w:sz w:val="24"/>
          <w:szCs w:val="24"/>
        </w:rPr>
        <w:t xml:space="preserve">В 2018-2020 годах, несмотря на прогнозируемую реализацию перечисленных выше проектов в пищевой промышленности, существенного роста обрабатывающих производств не ожидается: индекс производства составит 100,6 процента, 100,9 процента и </w:t>
      </w:r>
      <w:r w:rsidRPr="002E1BC4">
        <w:rPr>
          <w:rFonts w:ascii="Times New Roman" w:hAnsi="Times New Roman"/>
          <w:sz w:val="24"/>
          <w:szCs w:val="24"/>
        </w:rPr>
        <w:br/>
        <w:t>102,0 процента, соответственно.</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 2017 году индекс производства по разделу «Обеспечение электрической энергией, газом и паром; кондиционирование воздуха» составил 87,1 процента. Причиной снижения согласно тексту пояснительной записки является перераспределения загрузки мощностей ОЭС Востока по причине снижения водности ГЭС. В прогнозируемом периоде ожидается повышение выработки электроэнергии с 13,5 млрд. кВтч в 2017 году до 15,1 млрд. кВтч к 2020 году. Рост потребления электроэнергии ожидается в среднем на 3,0 процента.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Согласно пояснительной записке, прогноз разработан на основе прогноза социально-экономического развития Российской Федерации на ср</w:t>
      </w:r>
      <w:r w:rsidR="00EF08A3">
        <w:rPr>
          <w:rFonts w:ascii="Times New Roman" w:hAnsi="Times New Roman"/>
          <w:sz w:val="24"/>
          <w:szCs w:val="24"/>
        </w:rPr>
        <w:t>еднесрочный период.</w:t>
      </w:r>
    </w:p>
    <w:p w:rsidR="002E1BC4" w:rsidRPr="002E1BC4" w:rsidRDefault="002E1BC4" w:rsidP="002E1BC4">
      <w:pPr>
        <w:widowControl w:val="0"/>
        <w:spacing w:after="0" w:line="240" w:lineRule="auto"/>
        <w:ind w:firstLine="709"/>
        <w:jc w:val="both"/>
        <w:rPr>
          <w:rFonts w:ascii="Times New Roman" w:hAnsi="Times New Roman"/>
          <w:b/>
          <w:i/>
          <w:sz w:val="24"/>
          <w:szCs w:val="24"/>
        </w:rPr>
      </w:pPr>
      <w:r w:rsidRPr="002E1BC4">
        <w:rPr>
          <w:rFonts w:ascii="Times New Roman" w:hAnsi="Times New Roman"/>
          <w:b/>
          <w:i/>
          <w:sz w:val="24"/>
          <w:szCs w:val="24"/>
        </w:rPr>
        <w:t>Контрольно-счетная палата отмечает, что между прогнозом и прогнозом социально-экономического развития Российской Федерации на 2018 год и на плановый период 2019 и 2020 годов имеются разночтения по показателю «Объем продукции сельского хозяйства».</w:t>
      </w:r>
    </w:p>
    <w:p w:rsidR="002E1BC4" w:rsidRPr="002E1BC4" w:rsidRDefault="002E1BC4" w:rsidP="002E1BC4">
      <w:pPr>
        <w:widowControl w:val="0"/>
        <w:spacing w:after="0" w:line="240" w:lineRule="auto"/>
        <w:ind w:firstLine="709"/>
        <w:jc w:val="both"/>
        <w:rPr>
          <w:rFonts w:ascii="Times New Roman" w:hAnsi="Times New Roman"/>
          <w:i/>
          <w:sz w:val="24"/>
          <w:szCs w:val="24"/>
        </w:rPr>
      </w:pPr>
      <w:r w:rsidRPr="002E1BC4">
        <w:rPr>
          <w:rFonts w:ascii="Times New Roman" w:hAnsi="Times New Roman"/>
          <w:sz w:val="24"/>
          <w:szCs w:val="24"/>
        </w:rPr>
        <w:t xml:space="preserve">Прогнозом предполагается рост объемов продукции сельского хозяйства на </w:t>
      </w:r>
      <w:r w:rsidRPr="002E1BC4">
        <w:rPr>
          <w:rFonts w:ascii="Times New Roman" w:hAnsi="Times New Roman"/>
          <w:sz w:val="24"/>
          <w:szCs w:val="24"/>
        </w:rPr>
        <w:br/>
        <w:t>18,3 процента в 2020 году относительно оценки 2017 года.</w:t>
      </w:r>
      <w:r w:rsidRPr="002E1BC4">
        <w:t xml:space="preserve"> </w:t>
      </w:r>
      <w:r w:rsidRPr="002E1BC4">
        <w:rPr>
          <w:rFonts w:ascii="Times New Roman" w:hAnsi="Times New Roman"/>
          <w:sz w:val="24"/>
          <w:szCs w:val="24"/>
        </w:rPr>
        <w:t>Объем продукции сельского хозяйства увеличится с 54,9 млрд. рублей в 2017 году до 64,98 млрд. рублей в 2020 году. При этом индекс производства продукции сельского хозяйст</w:t>
      </w:r>
      <w:r w:rsidR="009C43F5">
        <w:rPr>
          <w:rFonts w:ascii="Times New Roman" w:hAnsi="Times New Roman"/>
          <w:sz w:val="24"/>
          <w:szCs w:val="24"/>
        </w:rPr>
        <w:t>ва прогнозируется в пределах 101,62-101</w:t>
      </w:r>
      <w:r w:rsidRPr="002E1BC4">
        <w:rPr>
          <w:rFonts w:ascii="Times New Roman" w:hAnsi="Times New Roman"/>
          <w:sz w:val="24"/>
          <w:szCs w:val="24"/>
        </w:rPr>
        <w:t>,</w:t>
      </w:r>
      <w:r w:rsidR="009C43F5">
        <w:rPr>
          <w:rFonts w:ascii="Times New Roman" w:hAnsi="Times New Roman"/>
          <w:sz w:val="24"/>
          <w:szCs w:val="24"/>
        </w:rPr>
        <w:t>71 процента ежегодно.</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 соответствии с разделом «6. Социально-экономическое развитие субъектов Российской Федерации» подразделом «Сельское хозяйство» по базовому варианту прогноза социально-экономического развития Российской Федерации на 2018 год и на плановый период 2019 и 2020 годов в Амурской области в 2019 году ожидается спад производства продукции сельского хозяйства на 1,3 процента, в 2020 году – на 1,8 процента.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Согласно пояснительной записке в прогнозируемом периоде ожидается рост инвестиций в основной капитал за счет реализации  крупных инвестиционных проектов:</w:t>
      </w:r>
    </w:p>
    <w:p w:rsidR="002E1BC4" w:rsidRPr="002E1BC4" w:rsidRDefault="002E1BC4" w:rsidP="002E1BC4">
      <w:pPr>
        <w:widowControl w:val="0"/>
        <w:numPr>
          <w:ilvl w:val="0"/>
          <w:numId w:val="1"/>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2E1BC4">
        <w:rPr>
          <w:rFonts w:ascii="Times New Roman" w:eastAsia="Calibri" w:hAnsi="Times New Roman"/>
          <w:sz w:val="24"/>
          <w:szCs w:val="24"/>
          <w:lang w:eastAsia="en-US"/>
        </w:rPr>
        <w:t>строительство магистрального газопровода «Сила Сибири» (планируется к завершению в 2019 году);</w:t>
      </w:r>
    </w:p>
    <w:p w:rsidR="002E1BC4" w:rsidRPr="002E1BC4" w:rsidRDefault="002E1BC4" w:rsidP="002E1BC4">
      <w:pPr>
        <w:widowControl w:val="0"/>
        <w:numPr>
          <w:ilvl w:val="0"/>
          <w:numId w:val="1"/>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2E1BC4">
        <w:rPr>
          <w:rFonts w:ascii="Times New Roman" w:eastAsia="Calibri" w:hAnsi="Times New Roman"/>
          <w:sz w:val="24"/>
          <w:szCs w:val="24"/>
          <w:lang w:eastAsia="en-US"/>
        </w:rPr>
        <w:t>строительство Нижне-Бурейской ГЭС, 2 очереди Благовещенской ТЭЦ (планируется к завершению в 2018 году);</w:t>
      </w:r>
    </w:p>
    <w:p w:rsidR="002E1BC4" w:rsidRPr="002E1BC4" w:rsidRDefault="002E1BC4" w:rsidP="002E1BC4">
      <w:pPr>
        <w:widowControl w:val="0"/>
        <w:numPr>
          <w:ilvl w:val="0"/>
          <w:numId w:val="1"/>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2E1BC4">
        <w:rPr>
          <w:rFonts w:ascii="Times New Roman" w:eastAsia="Calibri" w:hAnsi="Times New Roman"/>
          <w:sz w:val="24"/>
          <w:szCs w:val="24"/>
          <w:lang w:eastAsia="en-US"/>
        </w:rPr>
        <w:t>строительство газоперерабатывающего завода и газохимического комплекса;</w:t>
      </w:r>
    </w:p>
    <w:p w:rsidR="002E1BC4" w:rsidRPr="002E1BC4" w:rsidRDefault="002E1BC4" w:rsidP="002E1BC4">
      <w:pPr>
        <w:widowControl w:val="0"/>
        <w:numPr>
          <w:ilvl w:val="0"/>
          <w:numId w:val="1"/>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2E1BC4">
        <w:rPr>
          <w:rFonts w:ascii="Times New Roman" w:eastAsia="Calibri" w:hAnsi="Times New Roman"/>
          <w:sz w:val="24"/>
          <w:szCs w:val="24"/>
          <w:lang w:eastAsia="en-US"/>
        </w:rPr>
        <w:t>строительство автодорожного моста через р. Амур в районе Благовещенск (РФ) – Хэйхэ (КНР);</w:t>
      </w:r>
    </w:p>
    <w:p w:rsidR="002E1BC4" w:rsidRPr="002E1BC4" w:rsidRDefault="002E1BC4" w:rsidP="002E1BC4">
      <w:pPr>
        <w:widowControl w:val="0"/>
        <w:numPr>
          <w:ilvl w:val="0"/>
          <w:numId w:val="1"/>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2E1BC4">
        <w:rPr>
          <w:rFonts w:ascii="Times New Roman" w:eastAsia="Calibri" w:hAnsi="Times New Roman"/>
          <w:sz w:val="24"/>
          <w:szCs w:val="24"/>
          <w:lang w:eastAsia="en-US"/>
        </w:rPr>
        <w:t>реализация инвестиционной программы РЖД и др.</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Данные о прогнозируемых темпах прироста инвестиций в основной капитал и изменении стоимости основных фондов по базовому варианту прогноза приведены на рисунке 5.</w:t>
      </w:r>
    </w:p>
    <w:p w:rsidR="002E1BC4" w:rsidRPr="00B30264" w:rsidRDefault="002E1BC4" w:rsidP="002E1BC4">
      <w:pPr>
        <w:widowControl w:val="0"/>
        <w:spacing w:after="0" w:line="240" w:lineRule="auto"/>
        <w:jc w:val="both"/>
        <w:rPr>
          <w:rFonts w:ascii="Times New Roman" w:hAnsi="Times New Roman"/>
          <w:sz w:val="28"/>
          <w:szCs w:val="28"/>
          <w:highlight w:val="yellow"/>
        </w:rPr>
      </w:pPr>
      <w:r w:rsidRPr="002E1BC4">
        <w:rPr>
          <w:noProof/>
          <w:color w:val="FF0000"/>
          <w:highlight w:val="yellow"/>
        </w:rPr>
        <w:lastRenderedPageBreak/>
        <w:drawing>
          <wp:inline distT="0" distB="0" distL="0" distR="0" wp14:anchorId="3F60C8C1" wp14:editId="7F025FF0">
            <wp:extent cx="6353175" cy="3762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1BC4" w:rsidRPr="002E1BC4" w:rsidRDefault="002E1BC4" w:rsidP="002E1BC4">
      <w:pPr>
        <w:widowControl w:val="0"/>
        <w:spacing w:after="0" w:line="240" w:lineRule="auto"/>
        <w:jc w:val="center"/>
        <w:rPr>
          <w:rFonts w:ascii="Times New Roman" w:hAnsi="Times New Roman"/>
          <w:b/>
          <w:sz w:val="24"/>
          <w:szCs w:val="24"/>
        </w:rPr>
      </w:pPr>
      <w:r w:rsidRPr="002E1BC4">
        <w:rPr>
          <w:rFonts w:ascii="Times New Roman" w:hAnsi="Times New Roman"/>
          <w:b/>
          <w:sz w:val="24"/>
          <w:szCs w:val="24"/>
        </w:rPr>
        <w:t>Рис. 5 - Данные о прогнозируемых темпах прироста инвестиций в основной капитал и в</w:t>
      </w:r>
      <w:r w:rsidR="00B30264">
        <w:rPr>
          <w:rFonts w:ascii="Times New Roman" w:hAnsi="Times New Roman"/>
          <w:b/>
          <w:sz w:val="24"/>
          <w:szCs w:val="24"/>
        </w:rPr>
        <w:t>воде в действие основных фондов</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В 2017 году ожидается поступление инвестиций в основной капитал в пределах </w:t>
      </w:r>
      <w:r w:rsidRPr="002E1BC4">
        <w:rPr>
          <w:rFonts w:ascii="Times New Roman" w:hAnsi="Times New Roman"/>
          <w:sz w:val="24"/>
          <w:szCs w:val="24"/>
        </w:rPr>
        <w:br/>
        <w:t xml:space="preserve">156,3 млрд. рублей, что в сопоставимых ценах на 16,0 процентов выше уровня 2016 года. В номинальном выражении объем инвестиций возрастет на 27,8 млрд. рублей. По крупным и средним организациям ожидается поступление инвестиций в объеме 152,7 млрд. рублей </w:t>
      </w:r>
      <w:r w:rsidRPr="002E1BC4">
        <w:rPr>
          <w:rFonts w:ascii="Times New Roman" w:hAnsi="Times New Roman"/>
          <w:sz w:val="24"/>
          <w:szCs w:val="24"/>
        </w:rPr>
        <w:br/>
        <w:t>(97,7 процента объема инвестиций).</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Рост инвестиций обусловлен увеличением поступлений в строительство газоперерабатывающего комплекса, магистрального газопровода «Сила Сибири», реконструкцию объектов железнодорожного транспорта.</w:t>
      </w:r>
    </w:p>
    <w:p w:rsidR="002E1BC4" w:rsidRPr="002E1BC4" w:rsidRDefault="002E1BC4" w:rsidP="002E1BC4">
      <w:pPr>
        <w:widowControl w:val="0"/>
        <w:spacing w:after="0" w:line="240" w:lineRule="auto"/>
        <w:ind w:firstLine="709"/>
        <w:jc w:val="both"/>
        <w:rPr>
          <w:rFonts w:ascii="Times New Roman" w:hAnsi="Times New Roman"/>
          <w:b/>
          <w:i/>
          <w:sz w:val="24"/>
          <w:szCs w:val="24"/>
        </w:rPr>
      </w:pPr>
      <w:r w:rsidRPr="002E1BC4">
        <w:rPr>
          <w:rFonts w:ascii="Times New Roman" w:hAnsi="Times New Roman"/>
          <w:b/>
          <w:i/>
          <w:sz w:val="24"/>
          <w:szCs w:val="24"/>
        </w:rPr>
        <w:t>Контрольно-счетная палата отмечает, что между прогнозом и прогнозом социально-экономического развития Российской Федерации на 2018 год и на плановый период 2019 и 2020 годов имеются разночтения по показателю «темп прироста инвестиций в основной капитал».</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Так, согласно прогнозу темп прироста инвестиций в основной капитал в сопоставимых ценах в 2018 году составляет 16,0 процентов и значительно превышает среднероссийский уровень – на 13,3 процента. В 2019 году ожидается снижение темпа прироста инвестиций до 9,23 процента, что также выше среднероссийского уровня на </w:t>
      </w:r>
      <w:r w:rsidRPr="002E1BC4">
        <w:rPr>
          <w:rFonts w:ascii="Times New Roman" w:hAnsi="Times New Roman"/>
          <w:sz w:val="24"/>
          <w:szCs w:val="24"/>
        </w:rPr>
        <w:br/>
        <w:t xml:space="preserve">3,63 процента. В 2020 году предполагается сохранение объема инвестиций на уровне </w:t>
      </w:r>
      <w:r>
        <w:rPr>
          <w:rFonts w:ascii="Times New Roman" w:hAnsi="Times New Roman"/>
          <w:sz w:val="24"/>
          <w:szCs w:val="24"/>
        </w:rPr>
        <w:br/>
      </w:r>
      <w:r w:rsidR="002730BE">
        <w:rPr>
          <w:rFonts w:ascii="Times New Roman" w:hAnsi="Times New Roman"/>
          <w:sz w:val="24"/>
          <w:szCs w:val="24"/>
        </w:rPr>
        <w:t>2019 года.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Объем инвестиций в основной капитал по базовому варианту составит 192,7 млрд. рублей в 2018 году, 227,2 млрд. рублей в 2019 году и </w:t>
      </w:r>
      <w:r w:rsidR="002730BE">
        <w:rPr>
          <w:rFonts w:ascii="Times New Roman" w:hAnsi="Times New Roman"/>
          <w:sz w:val="24"/>
          <w:szCs w:val="24"/>
        </w:rPr>
        <w:t>234,2 млрд. рублей в 2020 году.</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Согласно пояснительной записке к прогнозу прирост будет обеспечен за счет реализации крупных объектов федерального значения – магистрального газопровода «Сила Сибири», газоперерабатывающего завода, строительства автодорожного моста через р. Амур в районе Благовещенск (РФ) – Хэйхэ (КНР).</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В соответствии с разделом «6. Социально-экономическое развитие субъектов Российской Федерации» подразделом «Инвестиции в основной капитал» прогноза социально-экономического развития Российской Федерации на 2018 год и на плановый период 2019 и 2020 годов «По базовому варианту прогноза максимальные темпы роста инвестиций в основной капитал прогнозируются также в Чеченской Республике </w:t>
      </w:r>
      <w:r>
        <w:rPr>
          <w:rFonts w:ascii="Times New Roman" w:hAnsi="Times New Roman"/>
          <w:sz w:val="24"/>
          <w:szCs w:val="24"/>
        </w:rPr>
        <w:br/>
      </w:r>
      <w:r w:rsidRPr="002E1BC4">
        <w:rPr>
          <w:rFonts w:ascii="Times New Roman" w:hAnsi="Times New Roman"/>
          <w:sz w:val="24"/>
          <w:szCs w:val="24"/>
        </w:rPr>
        <w:t xml:space="preserve">(2018 год - 140,0 процентов). В 2018 году в 18 субъектах Российской Федерации не будут </w:t>
      </w:r>
      <w:r w:rsidRPr="002E1BC4">
        <w:rPr>
          <w:rFonts w:ascii="Times New Roman" w:hAnsi="Times New Roman"/>
          <w:sz w:val="24"/>
          <w:szCs w:val="24"/>
        </w:rPr>
        <w:lastRenderedPageBreak/>
        <w:t xml:space="preserve">достигнуты объемы инвестиций в основной капитал предыдущего года, к 2020 году их число сократится до 11. </w:t>
      </w:r>
      <w:r w:rsidRPr="002E1BC4">
        <w:rPr>
          <w:rFonts w:ascii="Times New Roman" w:hAnsi="Times New Roman"/>
          <w:b/>
          <w:i/>
          <w:sz w:val="24"/>
          <w:szCs w:val="24"/>
        </w:rPr>
        <w:t>Наибольший спад инвестиционной активности будет наблюдаться</w:t>
      </w:r>
      <w:r w:rsidRPr="002E1BC4">
        <w:rPr>
          <w:rFonts w:ascii="Times New Roman" w:hAnsi="Times New Roman"/>
          <w:sz w:val="24"/>
          <w:szCs w:val="24"/>
        </w:rPr>
        <w:t xml:space="preserve"> в 2018 году в Новгородской области (на 43,7 процента), </w:t>
      </w:r>
      <w:r w:rsidRPr="002E1BC4">
        <w:rPr>
          <w:rFonts w:ascii="Times New Roman" w:hAnsi="Times New Roman"/>
          <w:b/>
          <w:i/>
          <w:sz w:val="24"/>
          <w:szCs w:val="24"/>
        </w:rPr>
        <w:t>в 2019 году и в 2020 году - в Амурской области (на 33,9 процента и 43,8 процента соответственно)</w:t>
      </w:r>
      <w:r w:rsidRPr="002E1BC4">
        <w:rPr>
          <w:rFonts w:ascii="Times New Roman" w:hAnsi="Times New Roman"/>
          <w:sz w:val="24"/>
          <w:szCs w:val="24"/>
        </w:rPr>
        <w:t>».</w:t>
      </w:r>
    </w:p>
    <w:p w:rsidR="002E1BC4" w:rsidRPr="002E1BC4" w:rsidRDefault="002E1BC4" w:rsidP="002E1BC4">
      <w:pPr>
        <w:widowControl w:val="0"/>
        <w:spacing w:after="0" w:line="240" w:lineRule="auto"/>
        <w:ind w:firstLine="709"/>
        <w:jc w:val="both"/>
        <w:rPr>
          <w:rFonts w:ascii="Times New Roman" w:hAnsi="Times New Roman"/>
          <w:b/>
          <w:i/>
          <w:sz w:val="24"/>
          <w:szCs w:val="24"/>
        </w:rPr>
      </w:pPr>
      <w:r w:rsidRPr="002E1BC4">
        <w:rPr>
          <w:rFonts w:ascii="Times New Roman" w:hAnsi="Times New Roman"/>
          <w:b/>
          <w:i/>
          <w:sz w:val="24"/>
          <w:szCs w:val="24"/>
        </w:rPr>
        <w:t xml:space="preserve">Стратегией значение показателя «Инвестиции в основной капитал» на 2020 год установлено в сумме 276,3 млрд. рублей (больше значения целевого варианта прогноза на 36,5 млрд. рублей, базового варианта - на 42,1 млрд. рублей, консервативного – на </w:t>
      </w:r>
      <w:r w:rsidRPr="002E1BC4">
        <w:rPr>
          <w:rFonts w:ascii="Times New Roman" w:hAnsi="Times New Roman"/>
          <w:b/>
          <w:i/>
          <w:sz w:val="24"/>
          <w:szCs w:val="24"/>
        </w:rPr>
        <w:br/>
        <w:t>60,9 млрд. рублей). Таким образом, запланированный в Стратегии уровень показателя, при любом варианте реализаци</w:t>
      </w:r>
      <w:r w:rsidR="002730BE">
        <w:rPr>
          <w:rFonts w:ascii="Times New Roman" w:hAnsi="Times New Roman"/>
          <w:b/>
          <w:i/>
          <w:sz w:val="24"/>
          <w:szCs w:val="24"/>
        </w:rPr>
        <w:t>и прогноза, не будет достигнут.</w:t>
      </w:r>
    </w:p>
    <w:p w:rsidR="002E1BC4" w:rsidRPr="002E1BC4" w:rsidRDefault="002E1BC4" w:rsidP="002E1BC4">
      <w:pPr>
        <w:widowControl w:val="0"/>
        <w:spacing w:after="0" w:line="240" w:lineRule="auto"/>
        <w:ind w:firstLine="709"/>
        <w:jc w:val="both"/>
      </w:pPr>
      <w:r w:rsidRPr="002E1BC4">
        <w:rPr>
          <w:rFonts w:ascii="Times New Roman" w:hAnsi="Times New Roman"/>
          <w:sz w:val="24"/>
          <w:szCs w:val="24"/>
        </w:rPr>
        <w:t xml:space="preserve">В структуре источников финансирования инвестиций согласно прогнозу будут преобладать привлеченные средства (76,7 процента всех инвестиций в 2018 году, </w:t>
      </w:r>
      <w:r w:rsidRPr="002E1BC4">
        <w:rPr>
          <w:rFonts w:ascii="Times New Roman" w:hAnsi="Times New Roman"/>
          <w:sz w:val="24"/>
          <w:szCs w:val="24"/>
        </w:rPr>
        <w:br/>
        <w:t>80,1 процента в 2019 году, 80,8 процента в 2020 году). Доля бюджетных средств будет колебаться в районе 5,0 процентов.</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С 2016 года сокращены инвестиционные затраты на объекты здравоохранения. Инвестиции в сферу образования также незначительны: 0,04 млрд. рублей в 2018 году, </w:t>
      </w:r>
      <w:r>
        <w:rPr>
          <w:rFonts w:ascii="Times New Roman" w:hAnsi="Times New Roman"/>
          <w:sz w:val="24"/>
          <w:szCs w:val="24"/>
        </w:rPr>
        <w:br/>
      </w:r>
      <w:r w:rsidRPr="002E1BC4">
        <w:rPr>
          <w:rFonts w:ascii="Times New Roman" w:hAnsi="Times New Roman"/>
          <w:sz w:val="24"/>
          <w:szCs w:val="24"/>
        </w:rPr>
        <w:t>1,1 млрд. рублей в 2019 году, 0,06 млрд. рублей в 2020 году.</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Согласно пояснительной записке 58,0 процентов всего объема инвестиций в прогнозируемом периоде будет приходиться на такой вид экономической деятельности как «транспортировка и хранение».</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Снижение темпа прироста инвестиций обусловлено ожидаемым завершением строительства газопровода «Сила Сибири», а также сокращением финансирования строительства газоперерабатывающего завода.</w:t>
      </w:r>
    </w:p>
    <w:p w:rsidR="002E1BC4" w:rsidRPr="002E1BC4" w:rsidRDefault="002E1BC4" w:rsidP="002E1BC4">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2E1BC4">
        <w:rPr>
          <w:rFonts w:ascii="Times New Roman" w:hAnsi="Times New Roman"/>
          <w:sz w:val="24"/>
          <w:szCs w:val="24"/>
        </w:rPr>
        <w:t>По оценке в 2017 году объем работ по виду деятельности «Строительство» возрастет по отношению к 2016 году в сопоставимых ценах на 16,8 процента. В 2018-2019 годах в базовом варианте прогнозируется увеличение объема работ по данному виду деятельности в сопоставимых ценах на 112,43 процента, 113,0 процентов, соответственно. В 2020 году объем выполненных работ по виду деятельности «Строительство» составит 70873,65 млн. рублей, что ниже уровня 2019 года в сопоставимых ценах на 6,7 процента.</w:t>
      </w:r>
    </w:p>
    <w:p w:rsidR="002E1BC4" w:rsidRPr="002E1BC4" w:rsidRDefault="002E1BC4" w:rsidP="002E1BC4">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2E1BC4">
        <w:rPr>
          <w:rFonts w:ascii="Times New Roman" w:hAnsi="Times New Roman"/>
          <w:sz w:val="24"/>
          <w:szCs w:val="24"/>
        </w:rPr>
        <w:t xml:space="preserve">На протяжении всего прогнозируемого периода предполагается, что ежегодно ввод в действие жилых домов на территории области </w:t>
      </w:r>
      <w:r w:rsidR="009C43F5">
        <w:rPr>
          <w:rFonts w:ascii="Times New Roman" w:hAnsi="Times New Roman"/>
          <w:sz w:val="24"/>
          <w:szCs w:val="24"/>
        </w:rPr>
        <w:t xml:space="preserve">по базовому варианту </w:t>
      </w:r>
      <w:r w:rsidRPr="002E1BC4">
        <w:rPr>
          <w:rFonts w:ascii="Times New Roman" w:hAnsi="Times New Roman"/>
          <w:sz w:val="24"/>
          <w:szCs w:val="24"/>
        </w:rPr>
        <w:t xml:space="preserve">составит </w:t>
      </w:r>
      <w:r w:rsidR="009C43F5">
        <w:rPr>
          <w:rFonts w:ascii="Times New Roman" w:hAnsi="Times New Roman"/>
          <w:sz w:val="24"/>
          <w:szCs w:val="24"/>
        </w:rPr>
        <w:br/>
      </w:r>
      <w:r w:rsidRPr="002E1BC4">
        <w:rPr>
          <w:rFonts w:ascii="Times New Roman" w:hAnsi="Times New Roman"/>
          <w:sz w:val="24"/>
          <w:szCs w:val="24"/>
        </w:rPr>
        <w:t xml:space="preserve">от </w:t>
      </w:r>
      <w:r w:rsidR="009C43F5">
        <w:rPr>
          <w:rFonts w:ascii="Times New Roman" w:hAnsi="Times New Roman"/>
          <w:sz w:val="24"/>
          <w:szCs w:val="24"/>
        </w:rPr>
        <w:t>202 тыс. кв. м до 2</w:t>
      </w:r>
      <w:r w:rsidRPr="002E1BC4">
        <w:rPr>
          <w:rFonts w:ascii="Times New Roman" w:hAnsi="Times New Roman"/>
          <w:sz w:val="24"/>
          <w:szCs w:val="24"/>
        </w:rPr>
        <w:t>2</w:t>
      </w:r>
      <w:r w:rsidR="009C43F5">
        <w:rPr>
          <w:rFonts w:ascii="Times New Roman" w:hAnsi="Times New Roman"/>
          <w:sz w:val="24"/>
          <w:szCs w:val="24"/>
        </w:rPr>
        <w:t>0</w:t>
      </w:r>
      <w:r w:rsidRPr="002E1BC4">
        <w:rPr>
          <w:rFonts w:ascii="Times New Roman" w:hAnsi="Times New Roman"/>
          <w:sz w:val="24"/>
          <w:szCs w:val="24"/>
        </w:rPr>
        <w:t xml:space="preserve"> тыс. кв. м, при этом </w:t>
      </w:r>
      <w:r w:rsidR="009C43F5">
        <w:rPr>
          <w:rFonts w:ascii="Times New Roman" w:hAnsi="Times New Roman"/>
          <w:sz w:val="24"/>
          <w:szCs w:val="24"/>
        </w:rPr>
        <w:t xml:space="preserve">13,0 процентов </w:t>
      </w:r>
      <w:r w:rsidRPr="002E1BC4">
        <w:rPr>
          <w:rFonts w:ascii="Times New Roman" w:hAnsi="Times New Roman"/>
          <w:sz w:val="24"/>
          <w:szCs w:val="24"/>
        </w:rPr>
        <w:t>жилья будет построено населением.</w:t>
      </w:r>
    </w:p>
    <w:p w:rsidR="002E1BC4" w:rsidRPr="002E1BC4" w:rsidRDefault="001F1942" w:rsidP="002E1BC4">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2E1BC4">
        <w:rPr>
          <w:rFonts w:ascii="Times New Roman" w:hAnsi="Times New Roman"/>
          <w:sz w:val="24"/>
          <w:szCs w:val="24"/>
        </w:rPr>
        <w:t>Согласно тексту пояснительной записки объем ввода жилья будет обеспечен строительством малоэтажного быстровозводимого жилья экономкласса по фиксированной цене для переселения граждан из ветхого и аварийного фонда,  также строительства жилых домов в сельских населенных пунктах с целью развития села.</w:t>
      </w:r>
    </w:p>
    <w:p w:rsidR="002E1BC4" w:rsidRPr="002E1BC4" w:rsidRDefault="002E1BC4" w:rsidP="002E1BC4">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2E1BC4">
        <w:rPr>
          <w:rFonts w:ascii="Times New Roman" w:hAnsi="Times New Roman"/>
          <w:sz w:val="24"/>
          <w:szCs w:val="24"/>
        </w:rPr>
        <w:t>Основным контрагентом во внешнеторговом обороте области продолжает оставаться Китай, на долю которого по итогам 2016 года пришлос</w:t>
      </w:r>
      <w:r w:rsidR="002730BE">
        <w:rPr>
          <w:rFonts w:ascii="Times New Roman" w:hAnsi="Times New Roman"/>
          <w:sz w:val="24"/>
          <w:szCs w:val="24"/>
        </w:rPr>
        <w:t>ь 88,2 процента товарооборота.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Данные о динамике экспорта и импорта Амурской области приведены на рисунке 6.</w:t>
      </w:r>
    </w:p>
    <w:p w:rsidR="002E1BC4" w:rsidRPr="002E1BC4" w:rsidRDefault="002E1BC4" w:rsidP="002E1BC4">
      <w:pPr>
        <w:widowControl w:val="0"/>
        <w:spacing w:after="0"/>
        <w:jc w:val="center"/>
        <w:rPr>
          <w:rFonts w:ascii="Times New Roman" w:hAnsi="Times New Roman"/>
          <w:b/>
          <w:sz w:val="24"/>
          <w:szCs w:val="24"/>
        </w:rPr>
      </w:pPr>
      <w:r w:rsidRPr="002E1BC4">
        <w:rPr>
          <w:noProof/>
          <w:color w:val="FF0000"/>
          <w:sz w:val="28"/>
          <w:szCs w:val="28"/>
        </w:rPr>
        <w:drawing>
          <wp:inline distT="0" distB="0" distL="0" distR="0" wp14:anchorId="28514F6D" wp14:editId="5260CF08">
            <wp:extent cx="5676900" cy="2171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BC4" w:rsidRPr="002E1BC4" w:rsidRDefault="002E1BC4" w:rsidP="002E1BC4">
      <w:pPr>
        <w:widowControl w:val="0"/>
        <w:spacing w:after="0"/>
        <w:jc w:val="center"/>
        <w:rPr>
          <w:rFonts w:ascii="Times New Roman" w:hAnsi="Times New Roman"/>
          <w:b/>
          <w:sz w:val="24"/>
          <w:szCs w:val="24"/>
        </w:rPr>
      </w:pPr>
      <w:r w:rsidRPr="002E1BC4">
        <w:rPr>
          <w:rFonts w:ascii="Times New Roman" w:hAnsi="Times New Roman"/>
          <w:b/>
          <w:sz w:val="24"/>
          <w:szCs w:val="24"/>
        </w:rPr>
        <w:t>Рис.6 – Динамика экспорта и импорта Амурской области</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lastRenderedPageBreak/>
        <w:t>Как видно из рисунка 6 в период 2018-2020 годов ожидается значительное превышение экспорта над импортом: в 2018 году на 198,9 млн. долл. США, в 2019 году – на 205,0 млн. долл. США, в 2020 году – на 221,5 млн. долл. США.</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Согласно пояснительной записке к прогнозу, в отчетном периоде отмечено увеличение доли несырьевого экспорта, в основном в Китайскую Народную Республику за счет поставок продовольственных товаров и сельскохозяйственного сырья. По итогам 2016 года объем несырьевого экспорта в целом составил 29,5 процента, или 10,4 млн. долларов США (в 2015 году – 23,9 процента, рост на 5,6 процента).</w:t>
      </w:r>
    </w:p>
    <w:p w:rsidR="002E1BC4" w:rsidRPr="002E1BC4" w:rsidRDefault="002E1BC4" w:rsidP="002E1BC4">
      <w:pPr>
        <w:widowControl w:val="0"/>
        <w:spacing w:after="0" w:line="240" w:lineRule="auto"/>
        <w:ind w:firstLine="709"/>
        <w:jc w:val="both"/>
        <w:rPr>
          <w:rFonts w:ascii="Times New Roman" w:hAnsi="Times New Roman"/>
          <w:b/>
          <w:i/>
          <w:sz w:val="24"/>
          <w:szCs w:val="24"/>
        </w:rPr>
      </w:pPr>
      <w:r w:rsidRPr="002E1BC4">
        <w:rPr>
          <w:rFonts w:ascii="Times New Roman" w:hAnsi="Times New Roman"/>
          <w:b/>
          <w:i/>
          <w:sz w:val="24"/>
          <w:szCs w:val="24"/>
        </w:rPr>
        <w:t xml:space="preserve">Основные факторы, оказывающие влияние на динамику экспорта и импорта в прогнозируемом периоде, в тексте пояснительной записки не приведены. </w:t>
      </w:r>
    </w:p>
    <w:p w:rsidR="002E1BC4" w:rsidRPr="002E1BC4" w:rsidRDefault="002E1BC4" w:rsidP="002E1BC4">
      <w:pPr>
        <w:widowControl w:val="0"/>
        <w:spacing w:after="0" w:line="240" w:lineRule="auto"/>
        <w:ind w:firstLine="709"/>
        <w:jc w:val="both"/>
        <w:rPr>
          <w:rFonts w:ascii="Times New Roman" w:hAnsi="Times New Roman"/>
          <w:sz w:val="24"/>
          <w:szCs w:val="24"/>
        </w:rPr>
      </w:pPr>
      <w:r w:rsidRPr="002E1BC4">
        <w:rPr>
          <w:rFonts w:ascii="Times New Roman" w:hAnsi="Times New Roman"/>
          <w:sz w:val="24"/>
          <w:szCs w:val="24"/>
        </w:rPr>
        <w:t>В целом внешнеторговый оборот области согласно прогнозу будет расти и составит по базовому варианту: в 2018 году – 435,9 млн. долларов США, в 2019 году – 448,9 млн. долларов США, в 2020 году – 483,5 млн. долларов США.</w:t>
      </w:r>
    </w:p>
    <w:p w:rsidR="002E1BC4" w:rsidRPr="002E1BC4" w:rsidRDefault="002E1BC4" w:rsidP="002E1BC4">
      <w:pPr>
        <w:spacing w:after="0" w:line="240" w:lineRule="auto"/>
        <w:ind w:firstLine="709"/>
        <w:jc w:val="both"/>
        <w:rPr>
          <w:rFonts w:ascii="Times New Roman" w:hAnsi="Times New Roman"/>
          <w:sz w:val="24"/>
          <w:szCs w:val="24"/>
        </w:rPr>
      </w:pP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sz w:val="24"/>
          <w:szCs w:val="24"/>
        </w:rPr>
        <w:t>В соответствии с частью 5 статьи 170</w:t>
      </w:r>
      <w:r w:rsidRPr="002E1BC4">
        <w:rPr>
          <w:rFonts w:ascii="Times New Roman" w:hAnsi="Times New Roman"/>
          <w:sz w:val="24"/>
          <w:szCs w:val="24"/>
          <w:vertAlign w:val="superscript"/>
        </w:rPr>
        <w:t>1</w:t>
      </w:r>
      <w:r w:rsidRPr="002E1BC4">
        <w:rPr>
          <w:rFonts w:ascii="Times New Roman" w:hAnsi="Times New Roman"/>
          <w:sz w:val="24"/>
          <w:szCs w:val="24"/>
        </w:rPr>
        <w:t xml:space="preserve"> Бюджетного кодекса Российской Федерации одновременно с проектом закона (решения) о соответствующем бюджете в законодательный (представительный) орган представляется проект бюджетного прогноза (проект изменений бюджетного прогноза) субъекта Российской Федерации на долгосрочный период (за исключением показателей финансового обеспечения государственных (муниципальных) программ).</w:t>
      </w: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sz w:val="24"/>
          <w:szCs w:val="24"/>
        </w:rPr>
        <w:t>С учетом части 3 статьи 170</w:t>
      </w:r>
      <w:r w:rsidRPr="002E1BC4">
        <w:rPr>
          <w:rFonts w:ascii="Times New Roman" w:hAnsi="Times New Roman"/>
          <w:sz w:val="24"/>
          <w:szCs w:val="24"/>
          <w:vertAlign w:val="superscript"/>
        </w:rPr>
        <w:t>1</w:t>
      </w:r>
      <w:r w:rsidRPr="002E1BC4">
        <w:rPr>
          <w:rFonts w:ascii="Times New Roman" w:hAnsi="Times New Roman"/>
          <w:sz w:val="24"/>
          <w:szCs w:val="24"/>
        </w:rPr>
        <w:t xml:space="preserve"> Бюджетного кодекса Российской Федерации при формировании бюджетного прогноза Российской Федерации на долгосрочный период учитываются результаты социально-экономического прогнозирования. Согласно </w:t>
      </w:r>
      <w:r>
        <w:rPr>
          <w:rFonts w:ascii="Times New Roman" w:hAnsi="Times New Roman"/>
          <w:sz w:val="24"/>
          <w:szCs w:val="24"/>
        </w:rPr>
        <w:br/>
      </w:r>
      <w:r w:rsidRPr="002E1BC4">
        <w:rPr>
          <w:rFonts w:ascii="Times New Roman" w:hAnsi="Times New Roman"/>
          <w:sz w:val="24"/>
          <w:szCs w:val="24"/>
        </w:rPr>
        <w:t>пункту 2 Порядка разработки и утверждения бюджетного прогноза Амурской области на долгосрочный период, утвержденного постановлением Правительства Амурской области от 28.05.2015 № 261, разработка бюджетного прогноза осуществляется на основе прогноза социально-экономического развития области на долгосрочный период.</w:t>
      </w: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sz w:val="24"/>
          <w:szCs w:val="24"/>
        </w:rPr>
        <w:t>Прогноз социально-экономического ра</w:t>
      </w:r>
      <w:r w:rsidR="00B77A5A">
        <w:rPr>
          <w:rFonts w:ascii="Times New Roman" w:hAnsi="Times New Roman"/>
          <w:sz w:val="24"/>
          <w:szCs w:val="24"/>
        </w:rPr>
        <w:t>звития Амурской области на 2017</w:t>
      </w:r>
      <w:r w:rsidRPr="002E1BC4">
        <w:rPr>
          <w:rFonts w:ascii="Times New Roman" w:hAnsi="Times New Roman"/>
          <w:sz w:val="24"/>
          <w:szCs w:val="24"/>
        </w:rPr>
        <w:t>-2028 годы (далее – долгосрочный прогноз) утвержден распоряжением Правительства Амурской области от 29.11.2016 № 139-р. Корректировка долгосрочного прогноза в соответствии с Порядком разработки и корректировки прогноза социально-экономического развития Амурской области на долгосрочный период, утвержденным постановлением Правительства Амурской области от 11.08.2015 № 390, осуществляется в соответствии с решением Правительства Амурской области с учетом прогноза социально-экономического развития Амурской области на среднесрочный период.</w:t>
      </w: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sz w:val="24"/>
          <w:szCs w:val="24"/>
        </w:rPr>
        <w:t xml:space="preserve">В связи с этим проанализированы на соответствие отдельные показатели прогноза, долгосрочного прогноза и показатели, включенные в бюджетный прогноз Амурской области на </w:t>
      </w:r>
      <w:r w:rsidR="00B77A5A">
        <w:rPr>
          <w:rFonts w:ascii="Times New Roman" w:hAnsi="Times New Roman"/>
          <w:sz w:val="24"/>
          <w:szCs w:val="24"/>
        </w:rPr>
        <w:t>2017</w:t>
      </w:r>
      <w:r w:rsidRPr="002E1BC4">
        <w:rPr>
          <w:rFonts w:ascii="Times New Roman" w:hAnsi="Times New Roman"/>
          <w:sz w:val="24"/>
          <w:szCs w:val="24"/>
        </w:rPr>
        <w:t>-2028 годы (далее – бюджетный прогноз), утвержденный постановлением Правительства Амурской области от 14.02.2017 № 55.</w:t>
      </w:r>
    </w:p>
    <w:p w:rsidR="002E1BC4" w:rsidRPr="002E1BC4" w:rsidRDefault="002E1BC4" w:rsidP="002E1BC4">
      <w:pPr>
        <w:spacing w:after="0" w:line="240" w:lineRule="auto"/>
        <w:ind w:firstLine="709"/>
        <w:jc w:val="both"/>
        <w:rPr>
          <w:rFonts w:ascii="Times New Roman" w:hAnsi="Times New Roman"/>
          <w:b/>
          <w:i/>
          <w:sz w:val="24"/>
          <w:szCs w:val="24"/>
        </w:rPr>
      </w:pPr>
      <w:r w:rsidRPr="002E1BC4">
        <w:rPr>
          <w:rFonts w:ascii="Times New Roman" w:hAnsi="Times New Roman"/>
          <w:b/>
          <w:i/>
          <w:sz w:val="24"/>
          <w:szCs w:val="24"/>
        </w:rPr>
        <w:t>Проведенный анализ выявил расхождения показателей прогноза, долгосрочного прогноза и бюджетного прогноза в части показателей 2016-2020 годов.</w:t>
      </w: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sz w:val="24"/>
          <w:szCs w:val="24"/>
        </w:rPr>
        <w:t>В составе документов к проекту закона Амурской области «Об областном бюджете на 2018 год и плановый период 2019 и 2020 годов» представлен проект постановления Правительства Амурской области «О внесении изменений в постановление Правительства Амурской области от 14.02.2017 № 55», предполагающий корректировку п</w:t>
      </w:r>
      <w:r w:rsidR="002575C3">
        <w:rPr>
          <w:rFonts w:ascii="Times New Roman" w:hAnsi="Times New Roman"/>
          <w:sz w:val="24"/>
          <w:szCs w:val="24"/>
        </w:rPr>
        <w:t>оказателей бюджетного прогноза.</w:t>
      </w:r>
    </w:p>
    <w:p w:rsidR="002E1BC4" w:rsidRPr="002E1BC4" w:rsidRDefault="002E1BC4" w:rsidP="002E1BC4">
      <w:pPr>
        <w:spacing w:after="0" w:line="240" w:lineRule="auto"/>
        <w:ind w:firstLine="709"/>
        <w:jc w:val="both"/>
        <w:rPr>
          <w:rFonts w:ascii="Times New Roman" w:hAnsi="Times New Roman"/>
          <w:sz w:val="24"/>
          <w:szCs w:val="24"/>
        </w:rPr>
      </w:pPr>
      <w:r w:rsidRPr="002E1BC4">
        <w:rPr>
          <w:rFonts w:ascii="Times New Roman" w:hAnsi="Times New Roman"/>
          <w:b/>
          <w:i/>
          <w:sz w:val="24"/>
          <w:szCs w:val="24"/>
        </w:rPr>
        <w:t>Контрольно-счетная палата отмечает, что показатели доходов консолидированного бюджета Амурской области и дефицита консолидированного бюджета Амурской области за 2017 год, приведенные в проекте изменений в бюджетный прогноз, не соответствуют показателям прогноза</w:t>
      </w:r>
      <w:r w:rsidRPr="002E1BC4">
        <w:rPr>
          <w:rFonts w:ascii="Times New Roman" w:hAnsi="Times New Roman"/>
          <w:b/>
          <w:sz w:val="24"/>
          <w:szCs w:val="24"/>
        </w:rPr>
        <w:t>.</w:t>
      </w:r>
    </w:p>
    <w:p w:rsidR="002E1BC4" w:rsidRPr="002E1BC4" w:rsidRDefault="002E1BC4" w:rsidP="002575C3">
      <w:pPr>
        <w:spacing w:after="0" w:line="264" w:lineRule="auto"/>
        <w:ind w:firstLine="709"/>
        <w:jc w:val="both"/>
        <w:rPr>
          <w:rFonts w:ascii="Times New Roman" w:hAnsi="Times New Roman"/>
          <w:sz w:val="24"/>
          <w:szCs w:val="24"/>
        </w:rPr>
      </w:pPr>
      <w:r w:rsidRPr="002E1BC4">
        <w:rPr>
          <w:rFonts w:ascii="Times New Roman" w:hAnsi="Times New Roman"/>
          <w:sz w:val="24"/>
          <w:szCs w:val="24"/>
        </w:rPr>
        <w:t xml:space="preserve">В соответствии с подпунктом «в» пункта 2 части 4 статьи 11 Федерального закона </w:t>
      </w:r>
      <w:r w:rsidRPr="002E1BC4">
        <w:rPr>
          <w:rFonts w:ascii="Times New Roman" w:hAnsi="Times New Roman"/>
          <w:sz w:val="24"/>
          <w:szCs w:val="24"/>
        </w:rPr>
        <w:br/>
        <w:t xml:space="preserve">№ 172-ФЗ «О стратегическом планировании в Российской Федерации» (с изменениями), а также подпунктом «в» пункта 2 части 2 статьи 1 Закона Амурской области от 10.06.2015 </w:t>
      </w:r>
      <w:r w:rsidRPr="002E1BC4">
        <w:rPr>
          <w:rFonts w:ascii="Times New Roman" w:hAnsi="Times New Roman"/>
          <w:sz w:val="24"/>
          <w:szCs w:val="24"/>
        </w:rPr>
        <w:br/>
      </w:r>
      <w:r w:rsidRPr="002E1BC4">
        <w:rPr>
          <w:rFonts w:ascii="Times New Roman" w:hAnsi="Times New Roman"/>
          <w:sz w:val="24"/>
          <w:szCs w:val="24"/>
        </w:rPr>
        <w:lastRenderedPageBreak/>
        <w:t>№ 552-ОЗ  «Об отдельных вопросах стратегического планирования в Амурской области» (с изменениями), прогноз социально-экономического развития субъекта Российской Федерации на среднесрочный период относится к документам стратегического планирования. В связи с этим прогноз должен не только с большой степенью надежности определять исходные условия для разработки проекта областного бюджета, но и иметь целевой характер, то есть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w:t>
      </w:r>
    </w:p>
    <w:p w:rsidR="002E1BC4" w:rsidRPr="002E1BC4" w:rsidRDefault="002E1BC4" w:rsidP="002575C3">
      <w:pPr>
        <w:widowControl w:val="0"/>
        <w:spacing w:after="0" w:line="264" w:lineRule="auto"/>
        <w:ind w:firstLine="709"/>
        <w:jc w:val="both"/>
        <w:rPr>
          <w:rFonts w:ascii="Times New Roman" w:hAnsi="Times New Roman"/>
          <w:sz w:val="24"/>
          <w:szCs w:val="24"/>
        </w:rPr>
      </w:pPr>
      <w:r w:rsidRPr="002E1BC4">
        <w:rPr>
          <w:rFonts w:ascii="Times New Roman" w:hAnsi="Times New Roman"/>
          <w:sz w:val="24"/>
          <w:szCs w:val="24"/>
        </w:rPr>
        <w:t>В соответствии с пунктом 1.2 Порядка разработки и корректировки прогноза социально-экономического развития Амурской области на среднесрочный период, утвержденного постановлением Правительства Амурской области от 17.07.2015 № 338,  среднесрочный прогноз разрабатывается на основе прогноза социально-экономического развития Российской Федерации на среднесрочный период, стратегии социально-экономического развития Амурской области с учетом основных направлений бюджетной и налог</w:t>
      </w:r>
      <w:r w:rsidR="002575C3">
        <w:rPr>
          <w:rFonts w:ascii="Times New Roman" w:hAnsi="Times New Roman"/>
          <w:sz w:val="24"/>
          <w:szCs w:val="24"/>
        </w:rPr>
        <w:t>овой политики Амурской области.</w:t>
      </w:r>
    </w:p>
    <w:p w:rsidR="002E1BC4" w:rsidRPr="002E1BC4" w:rsidRDefault="002E1BC4" w:rsidP="002575C3">
      <w:pPr>
        <w:widowControl w:val="0"/>
        <w:spacing w:after="0" w:line="264" w:lineRule="auto"/>
        <w:ind w:firstLine="680"/>
        <w:jc w:val="both"/>
        <w:rPr>
          <w:rFonts w:ascii="Times New Roman" w:hAnsi="Times New Roman"/>
          <w:b/>
          <w:i/>
          <w:sz w:val="24"/>
          <w:szCs w:val="24"/>
        </w:rPr>
      </w:pPr>
      <w:r w:rsidRPr="002E1BC4">
        <w:rPr>
          <w:rFonts w:ascii="Times New Roman" w:hAnsi="Times New Roman"/>
          <w:b/>
          <w:i/>
          <w:sz w:val="24"/>
          <w:szCs w:val="24"/>
        </w:rPr>
        <w:t>Количественные характеристики ряда основных макроэкономических показателей как базового, так и целевого вариантов прогноза свидетельствуют о недостижении значений, установленных Стратегией в рамках целеполагания. Кроме того, по отдельным показателям в базовом варианте имеются расхождения с прогнозом социально-экономического развития Российской Федерации на 2018 год и на плановый период 2019 и 2020 годов.</w:t>
      </w:r>
    </w:p>
    <w:p w:rsidR="002E1BC4" w:rsidRPr="002E1BC4" w:rsidRDefault="002E1BC4" w:rsidP="002575C3">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В соответствии с пунктом 1.8. Порядка разработки и корректировки прогноза социально-экономического развития Амурской области на среднесрочный период, утвержденного постановлением Правительства Амурской области от 17.07.2015 № 338, среднесрочный прогноз разрабатывается на основе формы среднесрочного прогноза и перечня целевых показателей, которые доведены Министерством экономического развития Российской Федерации и могут быть дополнены по решению Правительства Амурской области.</w:t>
      </w:r>
    </w:p>
    <w:p w:rsidR="002E1BC4" w:rsidRPr="002E1BC4" w:rsidRDefault="002E1BC4" w:rsidP="002575C3">
      <w:pPr>
        <w:widowControl w:val="0"/>
        <w:spacing w:after="0" w:line="240" w:lineRule="auto"/>
        <w:ind w:firstLine="680"/>
        <w:jc w:val="both"/>
        <w:rPr>
          <w:rFonts w:ascii="Times New Roman" w:hAnsi="Times New Roman"/>
          <w:sz w:val="24"/>
          <w:szCs w:val="24"/>
        </w:rPr>
      </w:pPr>
      <w:r w:rsidRPr="002E1BC4">
        <w:rPr>
          <w:rFonts w:ascii="Times New Roman" w:hAnsi="Times New Roman"/>
          <w:sz w:val="24"/>
          <w:szCs w:val="24"/>
        </w:rPr>
        <w:t>Следует отметить, что в прогнозе учтены только 27 показателей из 52, указанных в Стра</w:t>
      </w:r>
      <w:r w:rsidR="002575C3">
        <w:rPr>
          <w:rFonts w:ascii="Times New Roman" w:hAnsi="Times New Roman"/>
          <w:sz w:val="24"/>
          <w:szCs w:val="24"/>
        </w:rPr>
        <w:t>тегии.</w:t>
      </w:r>
    </w:p>
    <w:p w:rsidR="002E1BC4" w:rsidRPr="002E1BC4" w:rsidRDefault="002E1BC4" w:rsidP="002575C3">
      <w:pPr>
        <w:spacing w:after="0" w:line="240" w:lineRule="auto"/>
        <w:ind w:firstLine="709"/>
        <w:jc w:val="both"/>
        <w:rPr>
          <w:rFonts w:ascii="Times New Roman" w:hAnsi="Times New Roman"/>
          <w:sz w:val="24"/>
          <w:szCs w:val="24"/>
        </w:rPr>
      </w:pPr>
      <w:r w:rsidRPr="002E1BC4">
        <w:rPr>
          <w:rFonts w:ascii="Times New Roman" w:hAnsi="Times New Roman"/>
          <w:b/>
          <w:i/>
          <w:sz w:val="24"/>
          <w:szCs w:val="24"/>
        </w:rPr>
        <w:t xml:space="preserve">Рассмотрение представленного прогноза выявило его неполное соответствие нормам законодательства Российской Федерации и Амурской области о стратегическом планировании. </w:t>
      </w:r>
      <w:r w:rsidRPr="002E1BC4">
        <w:rPr>
          <w:rFonts w:ascii="Times New Roman" w:hAnsi="Times New Roman"/>
          <w:sz w:val="24"/>
          <w:szCs w:val="24"/>
        </w:rPr>
        <w:t>Пояснительная записка к прогнозу не содержит обоснования динамики ряда показателей в прогнозируемом периоде и не отражает взаимосвязь с документами стратегического планирования, разрабатываемыми и реализуемыми в рамках планирования и программирования. В тексте используются наименования группировок видов деятельности, отсутствующие в таблице прогнозных показателей.</w:t>
      </w:r>
    </w:p>
    <w:p w:rsidR="002E1BC4" w:rsidRPr="002E1BC4" w:rsidRDefault="002E1BC4" w:rsidP="002575C3">
      <w:pPr>
        <w:widowControl w:val="0"/>
        <w:spacing w:after="0" w:line="264" w:lineRule="auto"/>
        <w:ind w:firstLine="680"/>
        <w:jc w:val="both"/>
        <w:rPr>
          <w:rFonts w:ascii="Times New Roman" w:hAnsi="Times New Roman"/>
          <w:b/>
          <w:i/>
          <w:sz w:val="24"/>
          <w:szCs w:val="24"/>
        </w:rPr>
      </w:pPr>
      <w:r w:rsidRPr="002E1BC4">
        <w:rPr>
          <w:rFonts w:ascii="Times New Roman" w:hAnsi="Times New Roman"/>
          <w:b/>
          <w:i/>
          <w:sz w:val="24"/>
          <w:szCs w:val="24"/>
        </w:rPr>
        <w:t xml:space="preserve">В связи с тем, что фактически сложившиеся значения показателей социально-экономического развития Амурской области отличаются от ожидаемых, контрольно-счетная палата Амурской области считает целесообразным проведение анализа эффективности мероприятий, направленных на достижение целей, поставленных в Стратегии социально-экономического развития Амурской области на период до </w:t>
      </w:r>
      <w:r w:rsidRPr="002E1BC4">
        <w:rPr>
          <w:rFonts w:ascii="Times New Roman" w:hAnsi="Times New Roman"/>
          <w:b/>
          <w:i/>
          <w:sz w:val="24"/>
          <w:szCs w:val="24"/>
        </w:rPr>
        <w:br/>
        <w:t>2025 года, и, при необходимости, их корректировки.</w:t>
      </w:r>
    </w:p>
    <w:p w:rsidR="002E1BC4" w:rsidRPr="002E1BC4" w:rsidRDefault="002E1BC4" w:rsidP="002575C3">
      <w:pPr>
        <w:widowControl w:val="0"/>
        <w:spacing w:after="0" w:line="264" w:lineRule="auto"/>
        <w:ind w:firstLine="680"/>
        <w:jc w:val="both"/>
        <w:rPr>
          <w:rFonts w:ascii="Times New Roman" w:hAnsi="Times New Roman"/>
          <w:b/>
          <w:i/>
          <w:sz w:val="24"/>
          <w:szCs w:val="24"/>
        </w:rPr>
      </w:pPr>
      <w:r w:rsidRPr="002E1BC4">
        <w:rPr>
          <w:rFonts w:ascii="Times New Roman" w:hAnsi="Times New Roman"/>
          <w:b/>
          <w:i/>
          <w:sz w:val="24"/>
          <w:szCs w:val="24"/>
        </w:rPr>
        <w:t>Также необходимо принять меры по приведению в соответствие с прогнозом социально-экономического развития области на 2018 год и на плановый период 2019 и 2020 годов документов стратегического планирования Амурской области в части показателей соответствующих лет: прогноза социально-экономического ра</w:t>
      </w:r>
      <w:r w:rsidR="00B77A5A">
        <w:rPr>
          <w:rFonts w:ascii="Times New Roman" w:hAnsi="Times New Roman"/>
          <w:b/>
          <w:i/>
          <w:sz w:val="24"/>
          <w:szCs w:val="24"/>
        </w:rPr>
        <w:t>звития Амурской области на 2017</w:t>
      </w:r>
      <w:r w:rsidRPr="002E1BC4">
        <w:rPr>
          <w:rFonts w:ascii="Times New Roman" w:hAnsi="Times New Roman"/>
          <w:b/>
          <w:i/>
          <w:sz w:val="24"/>
          <w:szCs w:val="24"/>
        </w:rPr>
        <w:t>-2028 годы; бюджетного пр</w:t>
      </w:r>
      <w:r w:rsidR="00B77A5A">
        <w:rPr>
          <w:rFonts w:ascii="Times New Roman" w:hAnsi="Times New Roman"/>
          <w:b/>
          <w:i/>
          <w:sz w:val="24"/>
          <w:szCs w:val="24"/>
        </w:rPr>
        <w:t xml:space="preserve">огноза Амурской области на </w:t>
      </w:r>
      <w:r w:rsidR="00B77A5A">
        <w:rPr>
          <w:rFonts w:ascii="Times New Roman" w:hAnsi="Times New Roman"/>
          <w:b/>
          <w:i/>
          <w:sz w:val="24"/>
          <w:szCs w:val="24"/>
        </w:rPr>
        <w:br/>
        <w:t>2017</w:t>
      </w:r>
      <w:r w:rsidRPr="002E1BC4">
        <w:rPr>
          <w:rFonts w:ascii="Times New Roman" w:hAnsi="Times New Roman"/>
          <w:b/>
          <w:i/>
          <w:sz w:val="24"/>
          <w:szCs w:val="24"/>
        </w:rPr>
        <w:t>-2028 годы; Стратегии социально-экономического развития Амурской области на период до 2025 года.</w:t>
      </w:r>
    </w:p>
    <w:p w:rsidR="00781BD0" w:rsidRPr="00781BD0" w:rsidRDefault="00781BD0" w:rsidP="00781BD0">
      <w:pPr>
        <w:numPr>
          <w:ilvl w:val="0"/>
          <w:numId w:val="2"/>
        </w:numPr>
        <w:spacing w:after="0" w:line="240" w:lineRule="auto"/>
        <w:contextualSpacing/>
        <w:jc w:val="center"/>
        <w:rPr>
          <w:rFonts w:ascii="Times New Roman" w:eastAsia="Calibri" w:hAnsi="Times New Roman"/>
          <w:b/>
          <w:bCs/>
          <w:sz w:val="24"/>
          <w:szCs w:val="24"/>
          <w:lang w:eastAsia="en-US"/>
        </w:rPr>
      </w:pPr>
      <w:r w:rsidRPr="00781BD0">
        <w:rPr>
          <w:rFonts w:ascii="Times New Roman" w:eastAsia="Calibri" w:hAnsi="Times New Roman"/>
          <w:b/>
          <w:bCs/>
          <w:sz w:val="24"/>
          <w:szCs w:val="24"/>
          <w:lang w:eastAsia="en-US"/>
        </w:rPr>
        <w:lastRenderedPageBreak/>
        <w:t>Формирование доходной части областного бюджета на 2018 год и плановый период 2019 и 2020 годов</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Доходы областного бюджета прогнозируются на 2018 год в сумме 39721606,1 тыс. рублей, на 2019 год – 41425120,2 тыс. рублей, на 2020 год – 43340036,9  тыс.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Доходы областного бюджета в проекте закона Амурской области «Об областном бюджете на 2018 год и плановый период 2019 и 2020 годов» сформированы с учетом объема дотации бюджетам субъектов Российской Федерации на выравнивание бюджетной обеспеченности без учета финансовой помощи из федерального бюджета в виде субвенций, субсидий, иных межб</w:t>
      </w:r>
      <w:r w:rsidR="00F44C5E">
        <w:rPr>
          <w:rFonts w:ascii="Times New Roman" w:hAnsi="Times New Roman"/>
          <w:sz w:val="24"/>
          <w:szCs w:val="24"/>
        </w:rPr>
        <w:t>юджетных трансфертов.</w:t>
      </w:r>
    </w:p>
    <w:p w:rsidR="00781BD0" w:rsidRPr="00781BD0" w:rsidRDefault="002928B7" w:rsidP="00781BD0">
      <w:pPr>
        <w:spacing w:after="0" w:line="240" w:lineRule="auto"/>
        <w:ind w:firstLine="709"/>
        <w:jc w:val="both"/>
        <w:rPr>
          <w:rFonts w:ascii="Times New Roman" w:hAnsi="Times New Roman"/>
          <w:sz w:val="24"/>
          <w:szCs w:val="24"/>
        </w:rPr>
      </w:pPr>
      <w:r>
        <w:rPr>
          <w:rFonts w:ascii="Times New Roman" w:hAnsi="Times New Roman"/>
          <w:sz w:val="24"/>
          <w:szCs w:val="24"/>
        </w:rPr>
        <w:t>В связи с этим о</w:t>
      </w:r>
      <w:r w:rsidR="00781BD0" w:rsidRPr="00781BD0">
        <w:rPr>
          <w:rFonts w:ascii="Times New Roman" w:hAnsi="Times New Roman"/>
          <w:sz w:val="24"/>
          <w:szCs w:val="24"/>
        </w:rPr>
        <w:t>бъем поступлений доходов областного бюджета на 2018 год спрогнозирован меньше уточненных плановых назначений 2017 года на 5750367,5 тыс. рублей, или 12,6 процента, ожидаемого поступления доходов в 2017 году на 7646602,3 тыс. рублей, или 16,1 процента.</w:t>
      </w:r>
    </w:p>
    <w:p w:rsidR="00781BD0" w:rsidRPr="006E3062" w:rsidRDefault="00781BD0" w:rsidP="00781BD0">
      <w:pPr>
        <w:autoSpaceDE w:val="0"/>
        <w:autoSpaceDN w:val="0"/>
        <w:adjustRightInd w:val="0"/>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Прогнозом на 2019–2020 годы также предусматривается уменьшение объема доходов областного бюджета по сравнению с ожидаемым поступлением доходов, в </w:t>
      </w:r>
      <w:r w:rsidRPr="00781BD0">
        <w:rPr>
          <w:rFonts w:ascii="Times New Roman" w:hAnsi="Times New Roman"/>
          <w:sz w:val="24"/>
          <w:szCs w:val="24"/>
        </w:rPr>
        <w:br/>
        <w:t>2019 году - на 12,5 процента, в 2020 году – на 8,5 процента.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Анализ доходов областного бюджета за 2016-2017 годы и на плановый период </w:t>
      </w:r>
      <w:r w:rsidRPr="00781BD0">
        <w:rPr>
          <w:rFonts w:ascii="Times New Roman" w:hAnsi="Times New Roman"/>
          <w:sz w:val="24"/>
          <w:szCs w:val="24"/>
        </w:rPr>
        <w:br/>
        <w:t>201</w:t>
      </w:r>
      <w:r w:rsidR="00066FEC">
        <w:rPr>
          <w:rFonts w:ascii="Times New Roman" w:hAnsi="Times New Roman"/>
          <w:sz w:val="24"/>
          <w:szCs w:val="24"/>
        </w:rPr>
        <w:t>8</w:t>
      </w:r>
      <w:r w:rsidRPr="00781BD0">
        <w:rPr>
          <w:rFonts w:ascii="Times New Roman" w:hAnsi="Times New Roman"/>
          <w:sz w:val="24"/>
          <w:szCs w:val="24"/>
        </w:rPr>
        <w:t>-20</w:t>
      </w:r>
      <w:r w:rsidR="00066FEC">
        <w:rPr>
          <w:rFonts w:ascii="Times New Roman" w:hAnsi="Times New Roman"/>
          <w:sz w:val="24"/>
          <w:szCs w:val="24"/>
        </w:rPr>
        <w:t>20</w:t>
      </w:r>
      <w:r w:rsidRPr="00781BD0">
        <w:rPr>
          <w:rFonts w:ascii="Times New Roman" w:hAnsi="Times New Roman"/>
          <w:sz w:val="24"/>
          <w:szCs w:val="24"/>
        </w:rPr>
        <w:t xml:space="preserve"> годов представлен в Приложении 1 к Заключению.</w:t>
      </w:r>
    </w:p>
    <w:p w:rsidR="00781BD0" w:rsidRPr="006E3062"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Прогноз поступлений налоговых и неналоговых доходов областного бюджета на </w:t>
      </w:r>
      <w:r w:rsidRPr="00781BD0">
        <w:rPr>
          <w:rFonts w:ascii="Times New Roman" w:hAnsi="Times New Roman"/>
          <w:sz w:val="24"/>
          <w:szCs w:val="24"/>
        </w:rPr>
        <w:br/>
        <w:t>2018 год составляет 37523319,9 тыс. рублей, что больше уточненных плановых назначений на 2017 год на 1626184,4 тыс. рублей, или 4,5 процента,  ожидаемого поступления доходов в 2017 году на 1088485,0  тыс. рублей, или 3,0 процента.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Прогноз поступлений налоговых и неналоговых доходов областного бюджета на </w:t>
      </w:r>
      <w:r w:rsidRPr="00781BD0">
        <w:rPr>
          <w:rFonts w:ascii="Times New Roman" w:hAnsi="Times New Roman"/>
          <w:sz w:val="24"/>
          <w:szCs w:val="24"/>
        </w:rPr>
        <w:br/>
        <w:t xml:space="preserve">2019 год составляет 39442358,5 тыс. рублей, что больше прогноза поступлений 2018 года на 5,1 процента,  на 2020 год – 41357275,2 тыс. рублей, что больше прогноза поступлений </w:t>
      </w:r>
      <w:r w:rsidRPr="00781BD0">
        <w:rPr>
          <w:rFonts w:ascii="Times New Roman" w:hAnsi="Times New Roman"/>
          <w:sz w:val="24"/>
          <w:szCs w:val="24"/>
        </w:rPr>
        <w:br/>
        <w:t>2019 года на 4,9 процен</w:t>
      </w:r>
      <w:r w:rsidR="006E3062">
        <w:rPr>
          <w:rFonts w:ascii="Times New Roman" w:hAnsi="Times New Roman"/>
          <w:sz w:val="24"/>
          <w:szCs w:val="24"/>
        </w:rPr>
        <w:t>та.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Прогноз поступлений на 2018 год по основным налоговым доходам областного бюджета в сравнении с исполнением за 2016 год и ожидаемым исполнением за 2017 год представлен на рисунке 7.</w:t>
      </w:r>
    </w:p>
    <w:p w:rsidR="00781BD0" w:rsidRPr="00781BD0" w:rsidRDefault="00781BD0" w:rsidP="00781BD0">
      <w:pPr>
        <w:spacing w:after="0" w:line="360" w:lineRule="auto"/>
        <w:jc w:val="both"/>
        <w:rPr>
          <w:rFonts w:ascii="Times New Roman" w:hAnsi="Times New Roman"/>
          <w:b/>
          <w:sz w:val="28"/>
          <w:szCs w:val="28"/>
        </w:rPr>
      </w:pPr>
      <w:r w:rsidRPr="00781BD0">
        <w:rPr>
          <w:b/>
          <w:noProof/>
          <w:color w:val="DBE5F1" w:themeColor="accent1" w:themeTint="33"/>
          <w:sz w:val="24"/>
          <w:szCs w:val="24"/>
        </w:rPr>
        <w:drawing>
          <wp:inline distT="0" distB="0" distL="0" distR="0" wp14:anchorId="181016AD" wp14:editId="3C42B481">
            <wp:extent cx="6181725" cy="32099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1BD0" w:rsidRPr="00781BD0" w:rsidRDefault="00781BD0" w:rsidP="00781BD0">
      <w:pPr>
        <w:ind w:firstLine="720"/>
        <w:jc w:val="center"/>
        <w:rPr>
          <w:rFonts w:ascii="Times New Roman" w:hAnsi="Times New Roman"/>
          <w:b/>
          <w:sz w:val="24"/>
          <w:szCs w:val="24"/>
        </w:rPr>
      </w:pPr>
      <w:r w:rsidRPr="00781BD0">
        <w:rPr>
          <w:rFonts w:ascii="Times New Roman" w:hAnsi="Times New Roman"/>
          <w:b/>
          <w:sz w:val="24"/>
          <w:szCs w:val="24"/>
        </w:rPr>
        <w:t>Рис. 7 - Динамика объема поступлений основных налоговых доходов областного бюджета в 2016-2018 годах (млн.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Прогноз поступлений доходов областного бюджета на 201</w:t>
      </w:r>
      <w:r w:rsidR="00066FEC">
        <w:rPr>
          <w:rFonts w:ascii="Times New Roman" w:hAnsi="Times New Roman"/>
          <w:sz w:val="24"/>
          <w:szCs w:val="24"/>
        </w:rPr>
        <w:t>8</w:t>
      </w:r>
      <w:r w:rsidRPr="00781BD0">
        <w:rPr>
          <w:rFonts w:ascii="Times New Roman" w:hAnsi="Times New Roman"/>
          <w:sz w:val="24"/>
          <w:szCs w:val="24"/>
        </w:rPr>
        <w:t xml:space="preserve"> год и на плановый период 201</w:t>
      </w:r>
      <w:r w:rsidR="00066FEC">
        <w:rPr>
          <w:rFonts w:ascii="Times New Roman" w:hAnsi="Times New Roman"/>
          <w:sz w:val="24"/>
          <w:szCs w:val="24"/>
        </w:rPr>
        <w:t>9</w:t>
      </w:r>
      <w:r w:rsidRPr="00781BD0">
        <w:rPr>
          <w:rFonts w:ascii="Times New Roman" w:hAnsi="Times New Roman"/>
          <w:sz w:val="24"/>
          <w:szCs w:val="24"/>
        </w:rPr>
        <w:t xml:space="preserve"> и 20</w:t>
      </w:r>
      <w:r w:rsidR="00066FEC">
        <w:rPr>
          <w:rFonts w:ascii="Times New Roman" w:hAnsi="Times New Roman"/>
          <w:sz w:val="24"/>
          <w:szCs w:val="24"/>
        </w:rPr>
        <w:t>20</w:t>
      </w:r>
      <w:r w:rsidRPr="00781BD0">
        <w:rPr>
          <w:rFonts w:ascii="Times New Roman" w:hAnsi="Times New Roman"/>
          <w:sz w:val="24"/>
          <w:szCs w:val="24"/>
        </w:rPr>
        <w:t xml:space="preserve"> годов рассчитан с учетом основных показателей прогноза социально-</w:t>
      </w:r>
      <w:r w:rsidRPr="00781BD0">
        <w:rPr>
          <w:rFonts w:ascii="Times New Roman" w:hAnsi="Times New Roman"/>
          <w:sz w:val="24"/>
          <w:szCs w:val="24"/>
        </w:rPr>
        <w:lastRenderedPageBreak/>
        <w:t>экономического развития Амурской области и основных направлений налоговой политики  на 2018 год и на плановый период 2019 и 2020 годов. В расчетах доходов областного бюджета учитывалось действующее бюджетное и налоговое законодательство, а также изменения законодательства Российской Федерации и предлагаемые Правительством Российской Федерации изменения, вступающие в силу с 1 января 2018 года.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Структура налоговых и неналоговых доходов областного бюджета в 2018 году по сравнению с 2017 годом существенных изменений не претерпела. Основную долю доходов областного бюджета в 2018 году, по-прежнему, будут составлять поступления по следующим бюджетообразующим налогам: налогу на доходы физических лиц, налогу на прибыль организаций, акцизам, налогу на имущество организаций, налогу на добычу полезных ископаемых, налогу, взимаемому в связи с применением упрощенной системы налогообложения.</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Структура поступлений налоговых и неналоговых доходов областного бюджета на 2018 год в сравнении с 2017 годом представлена диаграммой на рисунке 8. Наибольший удельный вес в структуре налоговых и неналоговых доходов на 2018 год занимают налог на доходы физических лиц – 31,6 процента, налог на прибыль организаций - 27,4 процента, налог на имущество организаций – 23,4 процента.</w:t>
      </w:r>
    </w:p>
    <w:p w:rsidR="00781BD0" w:rsidRDefault="00781BD0" w:rsidP="00781BD0">
      <w:pPr>
        <w:spacing w:after="0" w:line="240" w:lineRule="auto"/>
        <w:ind w:firstLine="709"/>
        <w:jc w:val="both"/>
        <w:rPr>
          <w:rFonts w:ascii="Times New Roman" w:hAnsi="Times New Roman"/>
          <w:sz w:val="24"/>
          <w:szCs w:val="24"/>
        </w:rPr>
      </w:pPr>
    </w:p>
    <w:p w:rsidR="00F44C5E" w:rsidRPr="00781BD0" w:rsidRDefault="00F44C5E" w:rsidP="00781BD0">
      <w:pPr>
        <w:spacing w:after="0" w:line="240" w:lineRule="auto"/>
        <w:ind w:firstLine="709"/>
        <w:jc w:val="both"/>
        <w:rPr>
          <w:rFonts w:ascii="Times New Roman" w:hAnsi="Times New Roman"/>
          <w:sz w:val="24"/>
          <w:szCs w:val="24"/>
        </w:rPr>
      </w:pPr>
    </w:p>
    <w:p w:rsidR="00781BD0" w:rsidRPr="00781BD0" w:rsidRDefault="00781BD0" w:rsidP="00781BD0">
      <w:pPr>
        <w:keepNext/>
        <w:spacing w:after="0" w:line="240" w:lineRule="auto"/>
        <w:jc w:val="center"/>
      </w:pPr>
      <w:r w:rsidRPr="00781BD0">
        <w:rPr>
          <w:noProof/>
          <w:sz w:val="24"/>
          <w:szCs w:val="24"/>
        </w:rPr>
        <w:drawing>
          <wp:inline distT="0" distB="0" distL="0" distR="0" wp14:anchorId="18E2B888" wp14:editId="4CCDF2A7">
            <wp:extent cx="6134100" cy="494347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4C5E" w:rsidRDefault="00F44C5E" w:rsidP="00781BD0">
      <w:pPr>
        <w:spacing w:after="0" w:line="240" w:lineRule="auto"/>
        <w:jc w:val="center"/>
        <w:rPr>
          <w:rFonts w:ascii="Times New Roman" w:hAnsi="Times New Roman"/>
          <w:b/>
          <w:bCs/>
          <w:sz w:val="28"/>
          <w:szCs w:val="28"/>
        </w:rPr>
      </w:pPr>
    </w:p>
    <w:p w:rsidR="00781BD0" w:rsidRPr="00781BD0" w:rsidRDefault="00781BD0" w:rsidP="00781BD0">
      <w:pPr>
        <w:spacing w:after="0" w:line="240" w:lineRule="auto"/>
        <w:jc w:val="center"/>
        <w:rPr>
          <w:rFonts w:ascii="Times New Roman" w:hAnsi="Times New Roman"/>
          <w:b/>
          <w:bCs/>
          <w:sz w:val="28"/>
          <w:szCs w:val="28"/>
        </w:rPr>
      </w:pPr>
      <w:r w:rsidRPr="00781BD0">
        <w:rPr>
          <w:rFonts w:ascii="Times New Roman" w:hAnsi="Times New Roman"/>
          <w:b/>
          <w:bCs/>
          <w:sz w:val="28"/>
          <w:szCs w:val="28"/>
        </w:rPr>
        <w:t xml:space="preserve">2017 год </w:t>
      </w:r>
    </w:p>
    <w:p w:rsidR="00781BD0" w:rsidRPr="00781BD0" w:rsidRDefault="00781BD0" w:rsidP="00781BD0">
      <w:pPr>
        <w:spacing w:after="0" w:line="240" w:lineRule="auto"/>
        <w:jc w:val="center"/>
        <w:rPr>
          <w:rFonts w:ascii="Times New Roman" w:hAnsi="Times New Roman"/>
          <w:b/>
          <w:bCs/>
          <w:sz w:val="24"/>
          <w:szCs w:val="24"/>
        </w:rPr>
      </w:pPr>
      <w:r w:rsidRPr="00781BD0">
        <w:rPr>
          <w:rFonts w:ascii="Times New Roman" w:hAnsi="Times New Roman"/>
          <w:b/>
          <w:bCs/>
          <w:sz w:val="24"/>
          <w:szCs w:val="24"/>
        </w:rPr>
        <w:t xml:space="preserve">(по плановым показателям на 2017 год – уточненный план </w:t>
      </w:r>
    </w:p>
    <w:p w:rsidR="00781BD0" w:rsidRPr="00781BD0" w:rsidRDefault="00F44C5E" w:rsidP="00781BD0">
      <w:pPr>
        <w:spacing w:after="0" w:line="240" w:lineRule="auto"/>
        <w:jc w:val="center"/>
        <w:rPr>
          <w:rFonts w:ascii="Times New Roman" w:hAnsi="Times New Roman"/>
          <w:b/>
          <w:bCs/>
          <w:sz w:val="24"/>
          <w:szCs w:val="24"/>
        </w:rPr>
      </w:pPr>
      <w:r>
        <w:rPr>
          <w:rFonts w:ascii="Times New Roman" w:hAnsi="Times New Roman"/>
          <w:b/>
          <w:bCs/>
          <w:sz w:val="24"/>
          <w:szCs w:val="24"/>
        </w:rPr>
        <w:t>по состоянию на 01.10.2017)</w:t>
      </w:r>
    </w:p>
    <w:p w:rsidR="00781BD0" w:rsidRPr="00781BD0" w:rsidRDefault="00781BD0" w:rsidP="00781BD0">
      <w:pPr>
        <w:keepNext/>
        <w:spacing w:after="0" w:line="240" w:lineRule="auto"/>
        <w:jc w:val="center"/>
      </w:pPr>
      <w:r w:rsidRPr="00781BD0">
        <w:rPr>
          <w:noProof/>
          <w:sz w:val="24"/>
          <w:szCs w:val="24"/>
        </w:rPr>
        <w:lastRenderedPageBreak/>
        <w:drawing>
          <wp:inline distT="0" distB="0" distL="0" distR="0" wp14:anchorId="5C5739E5" wp14:editId="1955001A">
            <wp:extent cx="6119495" cy="4000477"/>
            <wp:effectExtent l="0" t="0" r="0" b="635"/>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1BD0" w:rsidRPr="00781BD0" w:rsidRDefault="00781BD0" w:rsidP="00781BD0">
      <w:pPr>
        <w:spacing w:line="240" w:lineRule="auto"/>
        <w:jc w:val="center"/>
        <w:rPr>
          <w:rFonts w:ascii="Times New Roman" w:hAnsi="Times New Roman"/>
          <w:b/>
          <w:bCs/>
          <w:sz w:val="28"/>
          <w:szCs w:val="28"/>
        </w:rPr>
      </w:pPr>
      <w:r w:rsidRPr="00781BD0">
        <w:rPr>
          <w:rFonts w:ascii="Times New Roman" w:hAnsi="Times New Roman"/>
          <w:b/>
          <w:bCs/>
          <w:sz w:val="28"/>
          <w:szCs w:val="28"/>
        </w:rPr>
        <w:t xml:space="preserve">2018 год </w:t>
      </w:r>
    </w:p>
    <w:p w:rsidR="00781BD0" w:rsidRDefault="00781BD0" w:rsidP="00781BD0">
      <w:pPr>
        <w:spacing w:after="0" w:line="240" w:lineRule="auto"/>
        <w:ind w:firstLine="680"/>
        <w:jc w:val="center"/>
        <w:rPr>
          <w:rFonts w:ascii="Times New Roman" w:hAnsi="Times New Roman"/>
          <w:b/>
          <w:sz w:val="24"/>
          <w:szCs w:val="24"/>
        </w:rPr>
      </w:pPr>
      <w:r w:rsidRPr="00781BD0">
        <w:rPr>
          <w:rFonts w:ascii="Times New Roman" w:hAnsi="Times New Roman"/>
          <w:b/>
          <w:sz w:val="24"/>
          <w:szCs w:val="24"/>
        </w:rPr>
        <w:t xml:space="preserve">Рис. 8 - Структура налоговых и неналоговых доходов областного бюджета </w:t>
      </w:r>
      <w:r w:rsidRPr="00781BD0">
        <w:rPr>
          <w:rFonts w:ascii="Times New Roman" w:hAnsi="Times New Roman"/>
          <w:b/>
          <w:sz w:val="24"/>
          <w:szCs w:val="24"/>
        </w:rPr>
        <w:br/>
        <w:t>на 2017-2018 годы, в процентах</w:t>
      </w:r>
    </w:p>
    <w:p w:rsidR="009920D7" w:rsidRPr="00781BD0" w:rsidRDefault="009920D7" w:rsidP="00781BD0">
      <w:pPr>
        <w:spacing w:after="0" w:line="240" w:lineRule="auto"/>
        <w:ind w:firstLine="680"/>
        <w:jc w:val="center"/>
        <w:rPr>
          <w:rFonts w:ascii="Times New Roman" w:hAnsi="Times New Roman"/>
          <w:sz w:val="24"/>
          <w:szCs w:val="24"/>
        </w:rPr>
      </w:pP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На протяжении нескольких лет наблюдается тенденция устойчивого роста налоговых и неналоговых доходов областного бюджета, ожидаемый объем поступлений которых в </w:t>
      </w:r>
      <w:r w:rsidRPr="00781BD0">
        <w:rPr>
          <w:rFonts w:ascii="Times New Roman" w:hAnsi="Times New Roman"/>
          <w:sz w:val="24"/>
          <w:szCs w:val="24"/>
        </w:rPr>
        <w:br/>
        <w:t xml:space="preserve">2017 году выше по сравнению с 2013 годом на 37,3 процента, по сравнению с 2014 годом – на 26,6 процента, по сравнению с 2015 годом  – на 14,0 процентов, по сравнению с </w:t>
      </w:r>
      <w:r w:rsidRPr="00781BD0">
        <w:rPr>
          <w:rFonts w:ascii="Times New Roman" w:hAnsi="Times New Roman"/>
          <w:sz w:val="24"/>
          <w:szCs w:val="24"/>
        </w:rPr>
        <w:br/>
        <w:t>2016 годом – на 3,3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Объем поступлений</w:t>
      </w:r>
      <w:r w:rsidRPr="00781BD0">
        <w:rPr>
          <w:rFonts w:ascii="Times New Roman" w:hAnsi="Times New Roman"/>
          <w:b/>
          <w:sz w:val="24"/>
          <w:szCs w:val="24"/>
        </w:rPr>
        <w:t xml:space="preserve"> </w:t>
      </w:r>
      <w:r w:rsidRPr="00781BD0">
        <w:rPr>
          <w:rFonts w:ascii="Times New Roman" w:hAnsi="Times New Roman"/>
          <w:sz w:val="24"/>
          <w:szCs w:val="24"/>
        </w:rPr>
        <w:t xml:space="preserve">налоговых и неналоговых доходов областного бюджета </w:t>
      </w:r>
      <w:r w:rsidRPr="00781BD0">
        <w:rPr>
          <w:rFonts w:ascii="Times New Roman" w:hAnsi="Times New Roman"/>
          <w:sz w:val="24"/>
          <w:szCs w:val="24"/>
        </w:rPr>
        <w:br/>
        <w:t xml:space="preserve">на 2018 год по сравнению с ожидаемым поступлением 2017 года увеличивается </w:t>
      </w:r>
      <w:r w:rsidRPr="00781BD0">
        <w:rPr>
          <w:rFonts w:ascii="Times New Roman" w:hAnsi="Times New Roman"/>
          <w:sz w:val="24"/>
          <w:szCs w:val="24"/>
        </w:rPr>
        <w:br/>
        <w:t xml:space="preserve">на 3,0 процента, на 2019-2020 годы по сравнению с 2018 годом - на 5,1 процента </w:t>
      </w:r>
      <w:r w:rsidRPr="00781BD0">
        <w:rPr>
          <w:rFonts w:ascii="Times New Roman" w:hAnsi="Times New Roman"/>
          <w:sz w:val="24"/>
          <w:szCs w:val="24"/>
        </w:rPr>
        <w:br/>
        <w:t>и 10,2 процента соответственно.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Динамика поступлений налоговых и неналоговых доходов областного бюджета в 2013-2020 годах представлена на рисунке 9.</w:t>
      </w:r>
    </w:p>
    <w:p w:rsidR="00F44C5E" w:rsidRPr="00781BD0" w:rsidRDefault="00F44C5E" w:rsidP="00F44C5E">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t>Налог на прибыль организаций</w:t>
      </w:r>
    </w:p>
    <w:p w:rsidR="00F44C5E" w:rsidRPr="00781BD0" w:rsidRDefault="00F44C5E" w:rsidP="00F44C5E">
      <w:pPr>
        <w:spacing w:after="0" w:line="240" w:lineRule="auto"/>
        <w:ind w:firstLine="709"/>
        <w:jc w:val="both"/>
        <w:rPr>
          <w:rFonts w:ascii="Times New Roman" w:hAnsi="Times New Roman"/>
          <w:sz w:val="24"/>
          <w:szCs w:val="24"/>
        </w:rPr>
      </w:pPr>
      <w:r w:rsidRPr="00781BD0">
        <w:rPr>
          <w:rFonts w:ascii="Times New Roman" w:hAnsi="Times New Roman"/>
          <w:sz w:val="24"/>
          <w:szCs w:val="24"/>
        </w:rPr>
        <w:t>Поступление налога на прибыль организаций на 2018 год запланировано в сумме 10274482,0 тыс. рублей, что выше ожидаемого поступления 2017 года на 599042,0 тыс. рублей, или 6,2 процента. Прогноз поступлений налога на прибыль организаций в областной бюджет на 2019 год составляет 10402187,0 тыс. рублей, на 2020 год – 10788208,0 тыс. рублей.</w:t>
      </w:r>
    </w:p>
    <w:p w:rsidR="00F44C5E" w:rsidRPr="00781BD0" w:rsidRDefault="00F44C5E" w:rsidP="00F44C5E">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Расчет налога на прибыль организаций на 2018 год и плановый период 2019 и </w:t>
      </w:r>
      <w:r w:rsidRPr="00781BD0">
        <w:rPr>
          <w:rFonts w:ascii="Times New Roman" w:hAnsi="Times New Roman"/>
          <w:sz w:val="24"/>
          <w:szCs w:val="24"/>
        </w:rPr>
        <w:br/>
        <w:t>2020 годов произведен отдельно по налогу на прибыль организаций консолидированных групп налогоплательщиков и по налогу на прибыль организаций (за исключением консолидированных групп налогоплательщиков), исходя из оценки ожидаемого поступления налога в 2017 году, рассчитанного методом прямого расчета и индекса физического объема валового регионального продукта по прогнозу социально-экономического развития области на 2018-2020 годы с учетом дополнительных доходов от реализации инвестиционных проектов.</w:t>
      </w:r>
    </w:p>
    <w:p w:rsidR="00781BD0" w:rsidRPr="00781BD0" w:rsidRDefault="00781BD0" w:rsidP="00781BD0">
      <w:pPr>
        <w:spacing w:after="0" w:line="240" w:lineRule="auto"/>
        <w:ind w:firstLine="680"/>
        <w:jc w:val="both"/>
        <w:rPr>
          <w:rFonts w:ascii="Times New Roman" w:hAnsi="Times New Roman"/>
          <w:b/>
          <w:sz w:val="24"/>
          <w:szCs w:val="24"/>
        </w:rPr>
      </w:pPr>
    </w:p>
    <w:p w:rsidR="00781BD0" w:rsidRPr="00781BD0" w:rsidRDefault="00781BD0" w:rsidP="00781BD0">
      <w:pPr>
        <w:spacing w:after="0" w:line="240" w:lineRule="auto"/>
        <w:jc w:val="both"/>
        <w:rPr>
          <w:rFonts w:ascii="Times New Roman" w:hAnsi="Times New Roman"/>
          <w:b/>
          <w:sz w:val="24"/>
          <w:szCs w:val="24"/>
        </w:rPr>
      </w:pPr>
      <w:r w:rsidRPr="00781BD0">
        <w:rPr>
          <w:noProof/>
          <w:color w:val="0D0D0D" w:themeColor="text1" w:themeTint="F2"/>
          <w:sz w:val="24"/>
          <w:szCs w:val="24"/>
        </w:rPr>
        <w:drawing>
          <wp:inline distT="0" distB="0" distL="0" distR="0" wp14:anchorId="4E7B1436" wp14:editId="62C341AB">
            <wp:extent cx="6267450" cy="30670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1BD0" w:rsidRPr="00781BD0" w:rsidRDefault="00781BD0" w:rsidP="00781BD0">
      <w:pPr>
        <w:spacing w:after="0" w:line="240" w:lineRule="auto"/>
        <w:ind w:firstLine="709"/>
        <w:jc w:val="center"/>
        <w:rPr>
          <w:rFonts w:ascii="Times New Roman" w:hAnsi="Times New Roman"/>
          <w:b/>
          <w:sz w:val="24"/>
          <w:szCs w:val="24"/>
        </w:rPr>
      </w:pPr>
      <w:r w:rsidRPr="00781BD0">
        <w:rPr>
          <w:rFonts w:ascii="Times New Roman" w:hAnsi="Times New Roman"/>
          <w:b/>
          <w:sz w:val="24"/>
          <w:szCs w:val="24"/>
        </w:rPr>
        <w:t xml:space="preserve">Рис. 9 - Динамика поступлений налоговых и неналоговых доходов областного </w:t>
      </w:r>
    </w:p>
    <w:p w:rsidR="00781BD0" w:rsidRPr="00781BD0" w:rsidRDefault="00781BD0" w:rsidP="00781BD0">
      <w:pPr>
        <w:spacing w:after="0" w:line="240" w:lineRule="auto"/>
        <w:ind w:firstLine="709"/>
        <w:jc w:val="center"/>
        <w:rPr>
          <w:rFonts w:ascii="Times New Roman" w:hAnsi="Times New Roman"/>
          <w:b/>
          <w:color w:val="000000" w:themeColor="text1"/>
          <w:sz w:val="24"/>
          <w:szCs w:val="24"/>
        </w:rPr>
      </w:pPr>
      <w:r w:rsidRPr="00781BD0">
        <w:rPr>
          <w:rFonts w:ascii="Times New Roman" w:hAnsi="Times New Roman"/>
          <w:b/>
          <w:color w:val="000000" w:themeColor="text1"/>
          <w:sz w:val="24"/>
          <w:szCs w:val="24"/>
        </w:rPr>
        <w:t>бюджета в 2013-2020 годах, млн.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Начиная с 2015 года поступления по налогу на прибыль организаций в областной бюджет повышаются. Так, по сравнению с 2014 годом объем поступлений в 2015 году увеличился на 12,3 процента. Объем поступлений налога в 2016 году выше объема поступлений 2015 года на 22,8 процента. Согласно оценке ожидаемого исполнения в </w:t>
      </w:r>
      <w:r w:rsidRPr="00781BD0">
        <w:rPr>
          <w:rFonts w:ascii="Times New Roman" w:hAnsi="Times New Roman"/>
          <w:sz w:val="24"/>
          <w:szCs w:val="24"/>
        </w:rPr>
        <w:br/>
        <w:t xml:space="preserve">2017 году объем поступлений налога составит 9675440,0 тыс. рублей (101,8 процента плановых назначений), что на 3,0 процента ниже уровня поступлений 2016 года. В течение 2017 года в плановые назначения по налогу внесены изменения, налог на прибыль организаций по состоянию на 01.10.2017 увеличен на 182462,0 тыс. рублей (первоначальные плановые назначения – 9325636,0 тыс. рублей). На 2018 год и плановый период 2019 и </w:t>
      </w:r>
      <w:r w:rsidRPr="00781BD0">
        <w:rPr>
          <w:rFonts w:ascii="Times New Roman" w:hAnsi="Times New Roman"/>
          <w:sz w:val="24"/>
          <w:szCs w:val="24"/>
        </w:rPr>
        <w:br/>
        <w:t>2020 годов, объем поступлений по налогу запланирован с ростом к ожидаемому исполнению по налогу за 2017 год на 6,2 процента, 7,5 процента, 11,5 процента соответственно. Динамика поступлений налога на прибыль за 2014-2020 годы представлены на рисунке 10.</w:t>
      </w:r>
    </w:p>
    <w:p w:rsidR="00781BD0" w:rsidRPr="00781BD0" w:rsidRDefault="00781BD0" w:rsidP="00781BD0">
      <w:pPr>
        <w:spacing w:after="0" w:line="240" w:lineRule="auto"/>
        <w:ind w:firstLine="709"/>
        <w:jc w:val="both"/>
        <w:rPr>
          <w:rFonts w:ascii="Times New Roman" w:hAnsi="Times New Roman"/>
          <w:sz w:val="24"/>
          <w:szCs w:val="24"/>
        </w:rPr>
      </w:pPr>
    </w:p>
    <w:p w:rsidR="00781BD0" w:rsidRPr="00781BD0" w:rsidRDefault="00781BD0" w:rsidP="009920D7">
      <w:pPr>
        <w:spacing w:after="0" w:line="240" w:lineRule="auto"/>
        <w:ind w:hanging="142"/>
        <w:jc w:val="both"/>
        <w:rPr>
          <w:rFonts w:ascii="Times New Roman" w:hAnsi="Times New Roman"/>
          <w:sz w:val="24"/>
          <w:szCs w:val="24"/>
        </w:rPr>
      </w:pPr>
      <w:r w:rsidRPr="00781BD0">
        <w:rPr>
          <w:rFonts w:ascii="Times New Roman" w:hAnsi="Times New Roman"/>
          <w:noProof/>
          <w:sz w:val="24"/>
          <w:szCs w:val="24"/>
        </w:rPr>
        <w:drawing>
          <wp:inline distT="0" distB="0" distL="0" distR="0" wp14:anchorId="009BF2D5" wp14:editId="79BF72F9">
            <wp:extent cx="6419850" cy="25622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1BD0" w:rsidRPr="00781BD0" w:rsidRDefault="00781BD0" w:rsidP="00781BD0">
      <w:pPr>
        <w:spacing w:after="0" w:line="240" w:lineRule="auto"/>
        <w:ind w:firstLine="709"/>
        <w:jc w:val="both"/>
        <w:rPr>
          <w:rFonts w:ascii="Times New Roman" w:hAnsi="Times New Roman"/>
          <w:sz w:val="24"/>
          <w:szCs w:val="24"/>
        </w:rPr>
      </w:pPr>
    </w:p>
    <w:p w:rsidR="00781BD0" w:rsidRPr="00781BD0" w:rsidRDefault="00781BD0" w:rsidP="00781BD0">
      <w:pPr>
        <w:ind w:firstLine="709"/>
        <w:jc w:val="center"/>
        <w:rPr>
          <w:rFonts w:ascii="Times New Roman" w:hAnsi="Times New Roman"/>
          <w:b/>
          <w:color w:val="000000"/>
          <w:sz w:val="24"/>
          <w:szCs w:val="24"/>
        </w:rPr>
      </w:pPr>
      <w:r w:rsidRPr="00781BD0">
        <w:rPr>
          <w:rFonts w:ascii="Times New Roman" w:hAnsi="Times New Roman"/>
          <w:b/>
          <w:sz w:val="24"/>
          <w:szCs w:val="24"/>
        </w:rPr>
        <w:t xml:space="preserve">Рис. 10 – Динамика поступлений налога на прибыль организаций </w:t>
      </w:r>
      <w:r w:rsidRPr="00781BD0">
        <w:rPr>
          <w:rFonts w:ascii="Times New Roman" w:hAnsi="Times New Roman"/>
          <w:b/>
          <w:sz w:val="24"/>
          <w:szCs w:val="24"/>
        </w:rPr>
        <w:br/>
        <w:t>за 2014-2020 годы, млн.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lastRenderedPageBreak/>
        <w:t xml:space="preserve">По данным администратора доходов областного бюджета - УФНС России по Амурской области поступления в областной бюджет налога на прибыль организаций на </w:t>
      </w:r>
      <w:r w:rsidRPr="00781BD0">
        <w:rPr>
          <w:rFonts w:ascii="Times New Roman" w:hAnsi="Times New Roman"/>
          <w:sz w:val="24"/>
          <w:szCs w:val="24"/>
        </w:rPr>
        <w:br/>
        <w:t xml:space="preserve">2018 год  спрогнозированы в объеме 9861126,0 тыс. рублей, на  плановый период 2019 и </w:t>
      </w:r>
      <w:r w:rsidRPr="00781BD0">
        <w:rPr>
          <w:rFonts w:ascii="Times New Roman" w:hAnsi="Times New Roman"/>
          <w:sz w:val="24"/>
          <w:szCs w:val="24"/>
        </w:rPr>
        <w:br/>
        <w:t>2020 годов – 10016688,0 тыс. рублей, 9930094,0 тыс. рублей соответственно.</w:t>
      </w: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налога на прибыль организаций на 2018 год в объеме 10274482,0 тыс. рублей обоснованным.</w:t>
      </w:r>
    </w:p>
    <w:p w:rsidR="00781BD0" w:rsidRPr="00781BD0" w:rsidRDefault="00781BD0" w:rsidP="00781BD0">
      <w:pPr>
        <w:spacing w:after="0" w:line="240" w:lineRule="auto"/>
        <w:ind w:firstLine="680"/>
        <w:jc w:val="both"/>
        <w:rPr>
          <w:rFonts w:ascii="Times New Roman" w:hAnsi="Times New Roman"/>
          <w:b/>
          <w:sz w:val="24"/>
          <w:szCs w:val="24"/>
        </w:rPr>
      </w:pPr>
    </w:p>
    <w:p w:rsidR="00781BD0" w:rsidRPr="00781BD0" w:rsidRDefault="00781BD0" w:rsidP="00781BD0">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t>Налог на доходы физических лиц</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Налог на доходы физических лиц в структуре налоговых и неналоговых доходов составляет 31,6 процента и прогнозируется на 2018 год в объеме 11846777,1 тыс. рублей. </w:t>
      </w:r>
      <w:r>
        <w:rPr>
          <w:rFonts w:ascii="Times New Roman" w:hAnsi="Times New Roman"/>
          <w:sz w:val="24"/>
          <w:szCs w:val="24"/>
        </w:rPr>
        <w:br/>
      </w:r>
      <w:r w:rsidRPr="00781BD0">
        <w:rPr>
          <w:rFonts w:ascii="Times New Roman" w:hAnsi="Times New Roman"/>
          <w:sz w:val="24"/>
          <w:szCs w:val="24"/>
        </w:rPr>
        <w:t xml:space="preserve">По сравнению с ожидаемой оценкой поступлений текущего года, прогнозируется уменьшение поступлений налога на сумму 157805,4 тыс. рублей, или 1,3 процента, при этом  исполнение за 2017 год по налогу ожидается выше плановых назначений на 164114,7 тыс. рублей, или 1,4 процента. По сравнению с плановыми назначениями на 2017 год, прогнозируется незначительное увеличение поступлений налога на сумму 6309,3 тыс. рублей, или 0,1 процента. </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За период 2013-2015 годов наблюдается рост поступлений налога на доходы физических лиц с 8482050,8 тыс. рублей в 2013 году до 10617545,0 тыс. рублей в 2015 году. В 2016 году поступления налога в областной бюджет снижаются по сравнению с 2015 годом на 97360,5 тыс. рублей, или 0,03 процента, в 2017 году ожидается рост объема поступлений по сравнению с 2016 годом на 14,1 процента, прогноз поступлений на 2018 год ниже объема ожидаемого исполнения на 1,3 процента. В течение 2017 года в плановые назначения по налогу внесены изменения, налог на доходы физических лиц по состоянию </w:t>
      </w:r>
      <w:r>
        <w:rPr>
          <w:rFonts w:ascii="Times New Roman" w:hAnsi="Times New Roman"/>
          <w:sz w:val="24"/>
          <w:szCs w:val="24"/>
        </w:rPr>
        <w:br/>
      </w:r>
      <w:r w:rsidRPr="00781BD0">
        <w:rPr>
          <w:rFonts w:ascii="Times New Roman" w:hAnsi="Times New Roman"/>
          <w:sz w:val="24"/>
          <w:szCs w:val="24"/>
        </w:rPr>
        <w:t>на 01.10.2017 увеличен на 1239017,0 тыс. рублей (первоначальные плановые назначения – 10601450,8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Поступления налога на доходы физических лиц за 2013-2020 годы представлены на рисунке 11.</w:t>
      </w:r>
    </w:p>
    <w:p w:rsidR="00781BD0" w:rsidRPr="00781BD0" w:rsidRDefault="00781BD0" w:rsidP="00781BD0">
      <w:pPr>
        <w:spacing w:after="0" w:line="240" w:lineRule="auto"/>
        <w:ind w:firstLine="680"/>
        <w:jc w:val="both"/>
        <w:rPr>
          <w:rFonts w:ascii="Times New Roman" w:hAnsi="Times New Roman"/>
          <w:sz w:val="24"/>
          <w:szCs w:val="24"/>
        </w:rPr>
      </w:pPr>
    </w:p>
    <w:p w:rsidR="00781BD0" w:rsidRPr="00781BD0" w:rsidRDefault="00781BD0" w:rsidP="00781BD0">
      <w:pPr>
        <w:spacing w:after="0" w:line="240" w:lineRule="auto"/>
        <w:jc w:val="both"/>
        <w:rPr>
          <w:rFonts w:ascii="Times New Roman" w:hAnsi="Times New Roman"/>
          <w:sz w:val="24"/>
          <w:szCs w:val="24"/>
        </w:rPr>
      </w:pPr>
      <w:r w:rsidRPr="00781BD0">
        <w:rPr>
          <w:rFonts w:ascii="Times New Roman" w:hAnsi="Times New Roman"/>
          <w:noProof/>
          <w:sz w:val="24"/>
          <w:szCs w:val="24"/>
        </w:rPr>
        <w:drawing>
          <wp:inline distT="0" distB="0" distL="0" distR="0" wp14:anchorId="14DCD47D" wp14:editId="76D06D57">
            <wp:extent cx="6162675" cy="3800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1BD0" w:rsidRPr="00781BD0" w:rsidRDefault="00781BD0" w:rsidP="00781BD0">
      <w:pPr>
        <w:spacing w:after="0" w:line="240" w:lineRule="auto"/>
        <w:ind w:firstLine="680"/>
        <w:jc w:val="center"/>
        <w:rPr>
          <w:rFonts w:ascii="Times New Roman" w:hAnsi="Times New Roman"/>
          <w:b/>
          <w:sz w:val="24"/>
          <w:szCs w:val="24"/>
        </w:rPr>
      </w:pPr>
      <w:r w:rsidRPr="00781BD0">
        <w:rPr>
          <w:rFonts w:ascii="Times New Roman" w:hAnsi="Times New Roman"/>
          <w:b/>
          <w:sz w:val="24"/>
          <w:szCs w:val="24"/>
        </w:rPr>
        <w:t>Рис. 11 -</w:t>
      </w:r>
      <w:r w:rsidRPr="00781BD0">
        <w:rPr>
          <w:rFonts w:ascii="Times New Roman" w:hAnsi="Times New Roman"/>
          <w:sz w:val="24"/>
          <w:szCs w:val="24"/>
        </w:rPr>
        <w:t xml:space="preserve"> </w:t>
      </w:r>
      <w:r w:rsidRPr="00781BD0">
        <w:rPr>
          <w:rFonts w:ascii="Times New Roman" w:hAnsi="Times New Roman"/>
          <w:b/>
          <w:sz w:val="24"/>
          <w:szCs w:val="24"/>
        </w:rPr>
        <w:t xml:space="preserve">Поступления налога на доходы физических лиц за </w:t>
      </w:r>
      <w:r w:rsidRPr="00781BD0">
        <w:rPr>
          <w:rFonts w:ascii="Times New Roman" w:hAnsi="Times New Roman"/>
          <w:b/>
          <w:sz w:val="24"/>
          <w:szCs w:val="24"/>
        </w:rPr>
        <w:br/>
        <w:t>2013-2020 годы (млн. рублей)</w:t>
      </w:r>
    </w:p>
    <w:p w:rsidR="00781BD0" w:rsidRPr="00781BD0" w:rsidRDefault="00781BD0" w:rsidP="00781BD0">
      <w:pPr>
        <w:spacing w:after="0" w:line="240" w:lineRule="auto"/>
        <w:ind w:firstLine="680"/>
        <w:jc w:val="center"/>
        <w:rPr>
          <w:rFonts w:ascii="Times New Roman" w:hAnsi="Times New Roman"/>
          <w:b/>
          <w:sz w:val="24"/>
          <w:szCs w:val="24"/>
        </w:rPr>
      </w:pPr>
    </w:p>
    <w:p w:rsidR="00F05396" w:rsidRPr="00781BD0" w:rsidRDefault="00F05396" w:rsidP="00F05396">
      <w:pPr>
        <w:spacing w:after="0" w:line="240" w:lineRule="auto"/>
        <w:ind w:firstLine="680"/>
        <w:jc w:val="both"/>
        <w:rPr>
          <w:rFonts w:ascii="Times New Roman" w:hAnsi="Times New Roman"/>
          <w:sz w:val="24"/>
          <w:szCs w:val="24"/>
        </w:rPr>
      </w:pPr>
      <w:r w:rsidRPr="00781BD0">
        <w:rPr>
          <w:rFonts w:ascii="Times New Roman" w:hAnsi="Times New Roman"/>
          <w:sz w:val="24"/>
          <w:szCs w:val="24"/>
        </w:rPr>
        <w:lastRenderedPageBreak/>
        <w:t>Прогноз налога на доходы физических лиц на 2018 год и плановый период 2019 и 2020 годов рассчитан исходя из ожидаемой в 2017 году оценки налогооблагаемой базы и контингента налога в разрезе муниципальных образований области (поселений и городских округов) по данным администратора доходов областного бюджета – УФНС России по Амурской области, на основе статистической налоговой отчетности,  прогнозируемых показателей фонда заработной платы, динамик</w:t>
      </w:r>
      <w:r>
        <w:rPr>
          <w:rFonts w:ascii="Times New Roman" w:hAnsi="Times New Roman"/>
          <w:sz w:val="24"/>
          <w:szCs w:val="24"/>
        </w:rPr>
        <w:t>и налоговых вычетов.</w:t>
      </w:r>
    </w:p>
    <w:p w:rsidR="00F05396" w:rsidRPr="00781BD0" w:rsidRDefault="00F05396" w:rsidP="00F05396">
      <w:pPr>
        <w:spacing w:after="0" w:line="240" w:lineRule="auto"/>
        <w:ind w:firstLine="680"/>
        <w:jc w:val="both"/>
        <w:rPr>
          <w:rFonts w:ascii="Times New Roman" w:hAnsi="Times New Roman"/>
          <w:sz w:val="24"/>
          <w:szCs w:val="24"/>
        </w:rPr>
      </w:pPr>
      <w:r w:rsidRPr="00781BD0">
        <w:rPr>
          <w:rFonts w:ascii="Times New Roman" w:hAnsi="Times New Roman"/>
          <w:sz w:val="24"/>
          <w:szCs w:val="24"/>
        </w:rPr>
        <w:t>Объем поступлений по налогу на доходы физических лиц на 2019 год составляет 12647619,4 тыс. рублей, на 2020 год – 13555718,0 тыс. рублей.</w:t>
      </w:r>
    </w:p>
    <w:p w:rsidR="00F05396" w:rsidRPr="00781BD0" w:rsidRDefault="00F05396" w:rsidP="00F05396">
      <w:pPr>
        <w:spacing w:after="0" w:line="240" w:lineRule="auto"/>
        <w:ind w:firstLine="709"/>
        <w:jc w:val="both"/>
        <w:rPr>
          <w:rFonts w:ascii="Times New Roman" w:hAnsi="Times New Roman"/>
          <w:sz w:val="24"/>
          <w:szCs w:val="24"/>
        </w:rPr>
      </w:pPr>
      <w:r w:rsidRPr="00781BD0">
        <w:rPr>
          <w:rFonts w:ascii="Times New Roman" w:hAnsi="Times New Roman"/>
          <w:sz w:val="24"/>
          <w:szCs w:val="24"/>
        </w:rPr>
        <w:t>По данным</w:t>
      </w:r>
      <w:r w:rsidRPr="00781BD0">
        <w:rPr>
          <w:rFonts w:ascii="Times New Roman" w:hAnsi="Times New Roman"/>
          <w:color w:val="FF0000"/>
          <w:sz w:val="24"/>
          <w:szCs w:val="24"/>
        </w:rPr>
        <w:t xml:space="preserve"> </w:t>
      </w:r>
      <w:r w:rsidRPr="00781BD0">
        <w:rPr>
          <w:rFonts w:ascii="Times New Roman" w:hAnsi="Times New Roman"/>
          <w:sz w:val="24"/>
          <w:szCs w:val="24"/>
        </w:rPr>
        <w:t xml:space="preserve">администратора доходов областного бюджета - УФНС России по Амурской области поступления в областной бюджет налога на доходы физических лиц на 2018 год спрогнозированы в объеме 11681010,0 тыс. рублей, на 2019 год – </w:t>
      </w:r>
      <w:r w:rsidRPr="00781BD0">
        <w:rPr>
          <w:rFonts w:ascii="Times New Roman" w:hAnsi="Times New Roman"/>
          <w:sz w:val="24"/>
          <w:szCs w:val="24"/>
        </w:rPr>
        <w:br/>
        <w:t>12633194,0 тыс. рублей, на 2020 год – 13549541,0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Приложением № 4 к законопроекту 26 муниципальным образованиям области на 2018-2020 годы устанавливаются дополнительные нормативы отчислений в бюджеты муниципальных районов (городских округов) от налога на доходы физических лиц, взамен дотации на выравнивание уровня бюджетной обеспеченности. Расчетная сумма налога, подлежащего замене, на 2018 год составила 1690921,3 тыс. рублей, на 2019 год –</w:t>
      </w:r>
      <w:r w:rsidRPr="00781BD0">
        <w:rPr>
          <w:rFonts w:ascii="Times New Roman" w:hAnsi="Times New Roman"/>
          <w:sz w:val="24"/>
          <w:szCs w:val="24"/>
        </w:rPr>
        <w:br/>
        <w:t>1805227,5 тыс. рублей, на 2020 год – 1934842,9 тыс. рублей.</w:t>
      </w: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налога на доходы физических лиц на 2018 год в объеме 11846777,1 тыс. рублей обоснованным.</w:t>
      </w:r>
    </w:p>
    <w:p w:rsidR="0001727A" w:rsidRDefault="0001727A" w:rsidP="00781BD0">
      <w:pPr>
        <w:spacing w:after="0" w:line="240" w:lineRule="auto"/>
        <w:ind w:firstLine="680"/>
        <w:jc w:val="both"/>
        <w:rPr>
          <w:rFonts w:ascii="Times New Roman" w:hAnsi="Times New Roman"/>
          <w:b/>
          <w:sz w:val="24"/>
          <w:szCs w:val="24"/>
        </w:rPr>
      </w:pPr>
    </w:p>
    <w:p w:rsidR="00781BD0" w:rsidRPr="00781BD0" w:rsidRDefault="00781BD0" w:rsidP="00781BD0">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t>Акцизы</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Проектом бюджета общий объем поступлений акцизов по подакцизным товарам (продукции), производимым на территории Российской Федерации, прогнозируется на </w:t>
      </w:r>
      <w:r w:rsidRPr="00781BD0">
        <w:rPr>
          <w:rFonts w:ascii="Times New Roman" w:hAnsi="Times New Roman"/>
          <w:sz w:val="24"/>
          <w:szCs w:val="24"/>
        </w:rPr>
        <w:br/>
        <w:t>2018 год в сумме 1969112,6 тыс. рублей, на 2019-2020 годы – в сумме 2202094,7 тыс. рублей,  ежегодно.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Объем поступлений акцизов на пиво прогнозируется по данным администратора доходов - УФНС России по Амурской области и составляет на 2018 год  </w:t>
      </w:r>
      <w:r w:rsidRPr="00781BD0">
        <w:rPr>
          <w:rFonts w:ascii="Times New Roman" w:hAnsi="Times New Roman"/>
          <w:sz w:val="24"/>
          <w:szCs w:val="24"/>
        </w:rPr>
        <w:br/>
        <w:t xml:space="preserve">8322,0 тыс. рублей, что ниже ожидаемого поступления 2017 года на 326,0 тыс. рублей, или 3,8 процента, больше плановых назначений на 2017 год на 543,0 тыс. рублей, или </w:t>
      </w:r>
      <w:r w:rsidRPr="00781BD0">
        <w:rPr>
          <w:rFonts w:ascii="Times New Roman" w:hAnsi="Times New Roman"/>
          <w:sz w:val="24"/>
          <w:szCs w:val="24"/>
        </w:rPr>
        <w:br/>
        <w:t>7,0 процентов. Объем поступлений акцизов на пиво на 2019-2020 годы запланирован в сумм</w:t>
      </w:r>
      <w:r w:rsidR="0001727A">
        <w:rPr>
          <w:rFonts w:ascii="Times New Roman" w:hAnsi="Times New Roman"/>
          <w:sz w:val="24"/>
          <w:szCs w:val="24"/>
        </w:rPr>
        <w:t>е 8322,0 тыс. рублей, ежегодно.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Прогноз поступлений акцизов на  сидр, пуаре, медовуху по данным администратора доходов - УФНС России по Амурской области на 2018 год составляет </w:t>
      </w:r>
      <w:r w:rsidRPr="00781BD0">
        <w:rPr>
          <w:rFonts w:ascii="Times New Roman" w:hAnsi="Times New Roman"/>
          <w:sz w:val="24"/>
          <w:szCs w:val="24"/>
        </w:rPr>
        <w:br/>
        <w:t>487,0 тыс. рублей, что меньше ожидаемого поступления 2017 года на 42,0 тыс. рублей, или 7,9 процента. На плановый период 2019-2020 годов поступление акцизов на сидр, пуаре, медовуху запланировано в объеме 490,0 тыс. рублей, ежегодно.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Расчет прогноза акцизов на пиво, сидр, пуаре, медовуху произведен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разовые договоры по реализации пива и др.).</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Акцизы на алкогольную продукцию с объемной долей этилового спирта свыше </w:t>
      </w:r>
      <w:r w:rsidRPr="00781BD0">
        <w:rPr>
          <w:rFonts w:ascii="Times New Roman" w:hAnsi="Times New Roman"/>
          <w:sz w:val="24"/>
          <w:szCs w:val="24"/>
        </w:rPr>
        <w:br/>
        <w:t>9 процентов, прогнозируется по данным администратора доходов - УФК по Амурской области  на 2018 год в объеме 104652,6 тыс. рублей, что выше ожидаемого исполнения за 2017 год, плановых назначений на 2017 год на 4036,</w:t>
      </w:r>
      <w:r w:rsidR="0001727A">
        <w:rPr>
          <w:rFonts w:ascii="Times New Roman" w:hAnsi="Times New Roman"/>
          <w:sz w:val="24"/>
          <w:szCs w:val="24"/>
        </w:rPr>
        <w:t>8 тыс. рублей, или 4,0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Прогноз поступлений акцизов на алкогольную продукцию с объемной долей этилового спирта свыше 9 процентов на 2019-2020 годы составляет 104351,7 тыс. рублей, ежегодно.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Акцизы на нефтепродукты, поступающие из их централизуемой части, запланированы на 2018 год по данным администратора доходов - УФК по Амурской области  в объеме 1855651,0 тыс. рублей, что ниже ожидаемого  акцизов на нефтепродукты в 2017 году на 1,5 процента, плановых назначений на 2017 год, на 1,6 процента. Прогноз поступлений акцизов на нефтепродукты на 2019-2020 годы составляет 2088931,0 тыс. рублей, ежегодно.</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lastRenderedPageBreak/>
        <w:t xml:space="preserve">Наибольший объем поступлений на 2018 год приходится на 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  – 1338423,0 тыс. рублей (72,1 процента в структуре доходов по акцизам), на доходы от уплаты акцизов на дизельное топливо,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 – 645258,0 тыс. рублей </w:t>
      </w:r>
      <w:r w:rsidRPr="00781BD0">
        <w:rPr>
          <w:rFonts w:ascii="Times New Roman" w:hAnsi="Times New Roman"/>
          <w:sz w:val="24"/>
          <w:szCs w:val="24"/>
        </w:rPr>
        <w:br/>
        <w:t>(34,8 процента в структуре доходов по акцизам).</w:t>
      </w:r>
    </w:p>
    <w:p w:rsidR="00781BD0" w:rsidRPr="00781BD0" w:rsidRDefault="00781BD0" w:rsidP="00781BD0">
      <w:pPr>
        <w:spacing w:after="0" w:line="240" w:lineRule="auto"/>
        <w:ind w:firstLine="709"/>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расчет акцизов по подакцизным товарам (продукции), производимым на территории Российской Федерации, на 2018 год в объеме 1969112,6 тыс. рублей считает обоснованным.</w:t>
      </w:r>
    </w:p>
    <w:p w:rsidR="00781BD0" w:rsidRPr="00781BD0" w:rsidRDefault="00781BD0" w:rsidP="00781BD0">
      <w:pPr>
        <w:spacing w:after="0" w:line="240" w:lineRule="auto"/>
        <w:ind w:firstLine="709"/>
        <w:jc w:val="both"/>
        <w:rPr>
          <w:rFonts w:ascii="Times New Roman" w:hAnsi="Times New Roman"/>
          <w:sz w:val="24"/>
          <w:szCs w:val="24"/>
        </w:rPr>
      </w:pP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b/>
          <w:sz w:val="24"/>
          <w:szCs w:val="24"/>
        </w:rPr>
        <w:t xml:space="preserve">Налог, взимаемый в связи с применением упрощенной системы налогообложения, </w:t>
      </w:r>
      <w:r w:rsidRPr="00781BD0">
        <w:rPr>
          <w:rFonts w:ascii="Times New Roman" w:hAnsi="Times New Roman"/>
          <w:sz w:val="24"/>
          <w:szCs w:val="24"/>
        </w:rPr>
        <w:t>рассчитан администратором доходов областного бюджета - УФНС России по Амурской области и составляет на 2018 год 1634500,0 тыс. рублей, что больше плановых назначений на 2017 год на 116724,0 тыс. рублей, или 7,7 процента. Прогноз налога на 2019 год составляет 1758859,0 тыс. рублей, на 2020 год 1843694,0  тыс. рублей.</w:t>
      </w: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налога, взимаемого в связи с применением упрощенной системы налогообложения, на 2018 год в объеме 1634500,0 тыс. рублей обоснованным.</w:t>
      </w:r>
    </w:p>
    <w:p w:rsidR="0001727A" w:rsidRDefault="0001727A" w:rsidP="00781BD0">
      <w:pPr>
        <w:spacing w:after="0" w:line="240" w:lineRule="auto"/>
        <w:ind w:firstLine="680"/>
        <w:jc w:val="both"/>
        <w:rPr>
          <w:rFonts w:ascii="Times New Roman" w:hAnsi="Times New Roman"/>
          <w:b/>
          <w:sz w:val="24"/>
          <w:szCs w:val="24"/>
        </w:rPr>
      </w:pPr>
    </w:p>
    <w:p w:rsidR="00781BD0" w:rsidRPr="00781BD0" w:rsidRDefault="00781BD0" w:rsidP="00781BD0">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t>Налог на имущество организаций</w:t>
      </w:r>
    </w:p>
    <w:p w:rsidR="00781BD0" w:rsidRPr="00781BD0" w:rsidRDefault="00781BD0" w:rsidP="0001727A">
      <w:pPr>
        <w:spacing w:after="0" w:line="264" w:lineRule="auto"/>
        <w:ind w:firstLine="680"/>
        <w:jc w:val="both"/>
        <w:rPr>
          <w:rFonts w:ascii="Times New Roman" w:hAnsi="Times New Roman"/>
          <w:sz w:val="24"/>
          <w:szCs w:val="24"/>
        </w:rPr>
      </w:pPr>
      <w:r w:rsidRPr="00781BD0">
        <w:rPr>
          <w:rFonts w:ascii="Times New Roman" w:hAnsi="Times New Roman"/>
          <w:sz w:val="24"/>
          <w:szCs w:val="24"/>
        </w:rPr>
        <w:t>Прогноз поступлений налога в 2018 году составляет 8792494,0 тыс. рублей, что выше объема ожидаемых поступлений по налогу в 2017 году, плановых назначений на 2017 год  на 1153615,0  тыс. рублей, или 15,1 процента. Прогноз поступлений налога на 2019 год составляет 9551628,0 тыс. рублей, на 2020 год – 9845867,0 тыс. рублей.</w:t>
      </w:r>
    </w:p>
    <w:p w:rsidR="00781BD0" w:rsidRPr="00781BD0" w:rsidRDefault="00781BD0" w:rsidP="0001727A">
      <w:pPr>
        <w:spacing w:after="0" w:line="264" w:lineRule="auto"/>
        <w:ind w:firstLine="680"/>
        <w:jc w:val="both"/>
        <w:rPr>
          <w:rFonts w:ascii="Times New Roman" w:hAnsi="Times New Roman"/>
          <w:sz w:val="24"/>
          <w:szCs w:val="24"/>
        </w:rPr>
      </w:pPr>
      <w:r w:rsidRPr="00781BD0">
        <w:rPr>
          <w:rFonts w:ascii="Times New Roman" w:hAnsi="Times New Roman"/>
          <w:sz w:val="24"/>
          <w:szCs w:val="24"/>
        </w:rPr>
        <w:t xml:space="preserve">Расчеты по налогу на 2018-2020 годы выполнены исходя из динамики  поступлений налога и  ожидаемых поступлений за 2017 год. Кроме того, в расчетах учтено поэтапное повышение ставки налога в отношении железнодорожных путей общего пользования с </w:t>
      </w:r>
      <w:r w:rsidRPr="00781BD0">
        <w:rPr>
          <w:rFonts w:ascii="Times New Roman" w:hAnsi="Times New Roman"/>
          <w:sz w:val="24"/>
          <w:szCs w:val="24"/>
        </w:rPr>
        <w:br/>
        <w:t>1,0 процента в 2017 году до 1,3 процента в 2018-2019 году, 1,6 процента в 2020 году, отмена льготы по движимому имуществу, дополнительные поступления налога, исчисленного от кадастровой стоимости отдельных объектов недвижимого имущества, а также учтены дополнительные поступления налога, исчисленного от планируемого ввода в экспл</w:t>
      </w:r>
      <w:r w:rsidR="0001727A">
        <w:rPr>
          <w:rFonts w:ascii="Times New Roman" w:hAnsi="Times New Roman"/>
          <w:sz w:val="24"/>
          <w:szCs w:val="24"/>
        </w:rPr>
        <w:t>уатацию объектов строительства.</w:t>
      </w:r>
    </w:p>
    <w:p w:rsidR="00781BD0" w:rsidRPr="00781BD0" w:rsidRDefault="00781BD0" w:rsidP="0001727A">
      <w:pPr>
        <w:spacing w:after="0" w:line="264" w:lineRule="auto"/>
        <w:ind w:firstLine="680"/>
        <w:jc w:val="both"/>
        <w:rPr>
          <w:rFonts w:ascii="Times New Roman" w:hAnsi="Times New Roman"/>
          <w:sz w:val="24"/>
          <w:szCs w:val="24"/>
        </w:rPr>
      </w:pPr>
      <w:r w:rsidRPr="00781BD0">
        <w:rPr>
          <w:rFonts w:ascii="Times New Roman" w:hAnsi="Times New Roman"/>
          <w:sz w:val="24"/>
          <w:szCs w:val="24"/>
        </w:rPr>
        <w:t xml:space="preserve">Объем поступлений налога в областной бюджет ежегодно растет, так поступления налога в областной бюджет за 2015 год выше объема поступлений налога за 2014 год на </w:t>
      </w:r>
      <w:r w:rsidRPr="00781BD0">
        <w:rPr>
          <w:rFonts w:ascii="Times New Roman" w:hAnsi="Times New Roman"/>
          <w:sz w:val="24"/>
          <w:szCs w:val="24"/>
        </w:rPr>
        <w:br/>
        <w:t xml:space="preserve">31,9 процента, поступления налога за 2016 год выше поступлений налога за 2015 год на </w:t>
      </w:r>
      <w:r w:rsidRPr="00781BD0">
        <w:rPr>
          <w:rFonts w:ascii="Times New Roman" w:hAnsi="Times New Roman"/>
          <w:sz w:val="24"/>
          <w:szCs w:val="24"/>
        </w:rPr>
        <w:br/>
        <w:t>5,8 процента, ожидаемое поступление налога в 2017 году на 16,0 процентов выше поступлений 2016 года и на 22,7 процента  выше поступлений 2015 года. В течение 2017 года плановые назначения по налогу увеличены  на 188983,0 тыс. рублей, или 2,5 процента (первоначальные плановые назначения по налогу на имущество организаций на 20</w:t>
      </w:r>
      <w:r w:rsidR="0001727A">
        <w:rPr>
          <w:rFonts w:ascii="Times New Roman" w:hAnsi="Times New Roman"/>
          <w:sz w:val="24"/>
          <w:szCs w:val="24"/>
        </w:rPr>
        <w:t>17 год -7449896,0 тыс. рублей).</w:t>
      </w:r>
    </w:p>
    <w:p w:rsidR="00781BD0" w:rsidRPr="00781BD0" w:rsidRDefault="00781BD0" w:rsidP="0001727A">
      <w:pPr>
        <w:spacing w:after="0" w:line="264" w:lineRule="auto"/>
        <w:ind w:firstLine="680"/>
        <w:jc w:val="both"/>
        <w:rPr>
          <w:rFonts w:ascii="Times New Roman" w:hAnsi="Times New Roman"/>
          <w:sz w:val="24"/>
          <w:szCs w:val="24"/>
        </w:rPr>
      </w:pPr>
      <w:r w:rsidRPr="00781BD0">
        <w:rPr>
          <w:rFonts w:ascii="Times New Roman" w:hAnsi="Times New Roman"/>
          <w:sz w:val="24"/>
          <w:szCs w:val="24"/>
        </w:rPr>
        <w:t>По данным администратора доходов - УФНС России по Амурской области поступление налога на имущество организаций в областной бюджет на 2018 год спрогнозировано в объеме 8478974,0 тыс. рублей, на 2019 год – 8814226,0 тыс. рублей, на 2020 год – 9103887,0 тыс. рублей.</w:t>
      </w:r>
    </w:p>
    <w:p w:rsidR="00781BD0" w:rsidRPr="00781BD0" w:rsidRDefault="00781BD0" w:rsidP="0001727A">
      <w:pPr>
        <w:spacing w:after="0" w:line="264"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налога на имущество организаций на 2018 год в объеме 8792494,0  тыс. рублей обоснованным.</w:t>
      </w:r>
    </w:p>
    <w:p w:rsidR="0001727A" w:rsidRDefault="0001727A" w:rsidP="00781BD0">
      <w:pPr>
        <w:spacing w:after="0" w:line="240" w:lineRule="auto"/>
        <w:ind w:firstLine="680"/>
        <w:jc w:val="both"/>
        <w:rPr>
          <w:rFonts w:ascii="Times New Roman" w:hAnsi="Times New Roman"/>
          <w:b/>
          <w:sz w:val="24"/>
          <w:szCs w:val="24"/>
        </w:rPr>
      </w:pPr>
    </w:p>
    <w:p w:rsidR="00781BD0" w:rsidRPr="00781BD0" w:rsidRDefault="00781BD0" w:rsidP="00781BD0">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lastRenderedPageBreak/>
        <w:t>Транспортный налог</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Поступление транспортного налога в областной бюджет на 2018 год запланировано в объеме 888095,0 тыс. рублей, что выше ожидаемых поступлений 2017 года на </w:t>
      </w:r>
      <w:r w:rsidRPr="00781BD0">
        <w:rPr>
          <w:rFonts w:ascii="Times New Roman" w:hAnsi="Times New Roman"/>
          <w:sz w:val="24"/>
          <w:szCs w:val="24"/>
        </w:rPr>
        <w:br/>
        <w:t>1,5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Объем поступлений транспортного налога с физических лиц на 2018 год составляет 722057,0 тыс. рублей, с организаций – 166038,0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Транспортный налог рассчитан по сведениям администратора доходов областного бюджета – УФНС России по Амурской области, на основании данных о количестве транспортных средств и суммарной мощности двигателей по категориям мощности двигателя транспортного средства, с учетом срока действия вычета по большегрузным автомобилям в соответствии с Федеральным законом от 03.07.2016 № 249-ФЗ «О внесении изменений в часть вторую Налогового кодекса Российской Федерации».</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 Прогноз поступлений налога на 2019 год составляет 906632,0 тыс. рублей, на </w:t>
      </w:r>
      <w:r w:rsidRPr="00781BD0">
        <w:rPr>
          <w:rFonts w:ascii="Times New Roman" w:hAnsi="Times New Roman"/>
          <w:sz w:val="24"/>
          <w:szCs w:val="24"/>
        </w:rPr>
        <w:br/>
        <w:t>2020 год – 914578,0 тыс. рублей.</w:t>
      </w: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транспортного налога на 2018 год в объеме</w:t>
      </w:r>
      <w:r>
        <w:rPr>
          <w:rFonts w:ascii="Times New Roman" w:hAnsi="Times New Roman"/>
          <w:b/>
          <w:i/>
          <w:sz w:val="24"/>
          <w:szCs w:val="24"/>
        </w:rPr>
        <w:t xml:space="preserve"> 888095,0</w:t>
      </w:r>
      <w:r w:rsidRPr="00781BD0">
        <w:rPr>
          <w:rFonts w:ascii="Times New Roman" w:hAnsi="Times New Roman"/>
          <w:b/>
          <w:i/>
          <w:sz w:val="24"/>
          <w:szCs w:val="24"/>
        </w:rPr>
        <w:t xml:space="preserve"> тыс. рублей обоснованным.</w:t>
      </w:r>
    </w:p>
    <w:p w:rsidR="00781BD0" w:rsidRPr="00781BD0" w:rsidRDefault="00781BD0" w:rsidP="00781BD0">
      <w:pPr>
        <w:spacing w:after="0" w:line="240" w:lineRule="auto"/>
        <w:ind w:firstLine="680"/>
        <w:jc w:val="both"/>
        <w:rPr>
          <w:rFonts w:ascii="Times New Roman" w:hAnsi="Times New Roman"/>
          <w:b/>
          <w:color w:val="000000" w:themeColor="text1"/>
          <w:sz w:val="24"/>
          <w:szCs w:val="24"/>
        </w:rPr>
      </w:pPr>
    </w:p>
    <w:p w:rsidR="00781BD0" w:rsidRPr="00781BD0" w:rsidRDefault="00781BD0" w:rsidP="00781BD0">
      <w:pPr>
        <w:spacing w:after="0" w:line="240" w:lineRule="auto"/>
        <w:ind w:firstLine="680"/>
        <w:jc w:val="both"/>
        <w:rPr>
          <w:rFonts w:ascii="Times New Roman" w:hAnsi="Times New Roman"/>
          <w:b/>
          <w:sz w:val="24"/>
          <w:szCs w:val="24"/>
        </w:rPr>
      </w:pPr>
      <w:r w:rsidRPr="00781BD0">
        <w:rPr>
          <w:rFonts w:ascii="Times New Roman" w:hAnsi="Times New Roman"/>
          <w:b/>
          <w:sz w:val="24"/>
          <w:szCs w:val="24"/>
        </w:rPr>
        <w:t xml:space="preserve">Налог на добычу полезных ископаемых </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Прогнозируемая сумма налога на добычу полезных ископаемых на 2018 год составляет 899636,0 тыс. рублей, что меньше ожидаемых поступлений 2017 года на </w:t>
      </w:r>
      <w:r w:rsidRPr="00781BD0">
        <w:rPr>
          <w:rFonts w:ascii="Times New Roman" w:hAnsi="Times New Roman"/>
          <w:sz w:val="24"/>
          <w:szCs w:val="24"/>
        </w:rPr>
        <w:br/>
        <w:t>182078,9 тыс. рублей, или 16,8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Прогноз поступлений по налогу на 2019 год составляет 1250728,0 тыс. рублей, </w:t>
      </w:r>
      <w:r w:rsidRPr="00781BD0">
        <w:rPr>
          <w:rFonts w:ascii="Times New Roman" w:hAnsi="Times New Roman"/>
          <w:sz w:val="24"/>
          <w:szCs w:val="24"/>
        </w:rPr>
        <w:br/>
        <w:t>на 2020 год – 1475315,0 тыс. рублей. Данный налог состоит из налога на добычу общераспространенных полезных ископаемых, налога на добычу прочих полезных ископаемых (за исключением полезных ископаемых в виде природных алмазов), налога на добычу полезных ископаемых в виде угля.</w:t>
      </w:r>
    </w:p>
    <w:p w:rsidR="00781BD0" w:rsidRPr="00781BD0" w:rsidRDefault="00781BD0" w:rsidP="00781BD0">
      <w:pPr>
        <w:spacing w:after="0" w:line="240" w:lineRule="auto"/>
        <w:ind w:firstLine="680"/>
        <w:jc w:val="both"/>
        <w:rPr>
          <w:rFonts w:ascii="Times New Roman" w:hAnsi="Times New Roman"/>
          <w:sz w:val="24"/>
          <w:szCs w:val="24"/>
        </w:rPr>
      </w:pP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b/>
          <w:i/>
          <w:sz w:val="24"/>
          <w:szCs w:val="24"/>
        </w:rPr>
        <w:t xml:space="preserve">Налог на добычу общераспространенных полезных ископаемых </w:t>
      </w:r>
      <w:r w:rsidRPr="00781BD0">
        <w:rPr>
          <w:rFonts w:ascii="Times New Roman" w:hAnsi="Times New Roman"/>
          <w:sz w:val="24"/>
          <w:szCs w:val="24"/>
        </w:rPr>
        <w:t>на 2018 год рассчитан по данным администратора доходов - УФНС России по Амурской области</w:t>
      </w:r>
      <w:r w:rsidRPr="00781BD0">
        <w:rPr>
          <w:rFonts w:ascii="Times New Roman" w:hAnsi="Times New Roman"/>
          <w:b/>
          <w:sz w:val="24"/>
          <w:szCs w:val="24"/>
        </w:rPr>
        <w:t xml:space="preserve"> </w:t>
      </w:r>
      <w:r w:rsidRPr="00781BD0">
        <w:rPr>
          <w:rFonts w:ascii="Times New Roman" w:hAnsi="Times New Roman"/>
          <w:sz w:val="24"/>
          <w:szCs w:val="24"/>
        </w:rPr>
        <w:t xml:space="preserve">в объеме 36424,0 тыс. рублей на основании данных статистической налоговой отчетности. </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Объем поступлений налога на 2018 год меньше ожидаемого поступления налога </w:t>
      </w:r>
      <w:r w:rsidRPr="00781BD0">
        <w:rPr>
          <w:rFonts w:ascii="Times New Roman" w:hAnsi="Times New Roman"/>
          <w:sz w:val="24"/>
          <w:szCs w:val="24"/>
        </w:rPr>
        <w:br/>
        <w:t>2017 года на 22,6 процента за счет прогнозируемого уменьшения объемов добычи по предприятиям, участвующим в реализации инвестиционных проектов по строительству Амурского газоперерабатывающего завода, магистраль</w:t>
      </w:r>
      <w:r w:rsidR="0001727A">
        <w:rPr>
          <w:rFonts w:ascii="Times New Roman" w:hAnsi="Times New Roman"/>
          <w:sz w:val="24"/>
          <w:szCs w:val="24"/>
        </w:rPr>
        <w:t>ного газопровода «Сила Сибири».</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Прогноз поступлений налога на 2019 год составляет 36643,0 тыс. рублей, на </w:t>
      </w:r>
      <w:r w:rsidRPr="00781BD0">
        <w:rPr>
          <w:rFonts w:ascii="Times New Roman" w:hAnsi="Times New Roman"/>
          <w:sz w:val="24"/>
          <w:szCs w:val="24"/>
        </w:rPr>
        <w:br/>
        <w:t>2020 год – 36863,0 тыс. рублей.</w:t>
      </w:r>
    </w:p>
    <w:p w:rsidR="00781BD0" w:rsidRPr="00781BD0" w:rsidRDefault="00781BD0" w:rsidP="00781BD0">
      <w:pPr>
        <w:spacing w:after="0" w:line="240" w:lineRule="auto"/>
        <w:ind w:firstLine="680"/>
        <w:jc w:val="both"/>
        <w:rPr>
          <w:rFonts w:ascii="Times New Roman" w:hAnsi="Times New Roman"/>
          <w:sz w:val="24"/>
          <w:szCs w:val="24"/>
        </w:rPr>
      </w:pP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Налог на добычу прочих полезных ископаемых (за исключением полезных ископаемых в виде природных алмазов)</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Прогнозируемая сумма налога на добычу прочих полезных ископаемых по данным администратора доходов - УФНС России по Амурской области</w:t>
      </w:r>
      <w:r w:rsidRPr="00781BD0">
        <w:rPr>
          <w:rFonts w:ascii="Times New Roman" w:hAnsi="Times New Roman"/>
          <w:b/>
          <w:sz w:val="24"/>
          <w:szCs w:val="24"/>
        </w:rPr>
        <w:t xml:space="preserve"> </w:t>
      </w:r>
      <w:r w:rsidRPr="00781BD0">
        <w:rPr>
          <w:rFonts w:ascii="Times New Roman" w:hAnsi="Times New Roman"/>
          <w:sz w:val="24"/>
          <w:szCs w:val="24"/>
        </w:rPr>
        <w:t xml:space="preserve">на 2018 год составляет 822274,0 тыс. рублей, что меньше ожидаемых поступлений 2017 года на </w:t>
      </w:r>
      <w:r w:rsidRPr="00781BD0">
        <w:rPr>
          <w:rFonts w:ascii="Times New Roman" w:hAnsi="Times New Roman"/>
          <w:sz w:val="24"/>
          <w:szCs w:val="24"/>
        </w:rPr>
        <w:br/>
        <w:t>173032,9  тыс. рублей, или 17,4 процента, плановых назначений  2017 года - на 189804,0 тыс. рублей, или 18,8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Прогноз поступлений по налогу на 2019 год составляет 1171441,0 тыс. рублей,</w:t>
      </w:r>
      <w:r w:rsidRPr="00781BD0">
        <w:rPr>
          <w:rFonts w:ascii="Times New Roman" w:hAnsi="Times New Roman"/>
          <w:sz w:val="24"/>
          <w:szCs w:val="24"/>
        </w:rPr>
        <w:br/>
        <w:t>на 2020 год – 1394352,0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Расчет прогноза поступлений налога произведен методом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с учетом выпадающих доходов бюджета при освобождении от уплаты налога  участников региональных инвестиционных проектов.</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lastRenderedPageBreak/>
        <w:t>Прогноз добычи золота, принятый при исчислении налога, составляет</w:t>
      </w:r>
      <w:r w:rsidRPr="00781BD0">
        <w:rPr>
          <w:rFonts w:ascii="Times New Roman" w:hAnsi="Times New Roman"/>
          <w:sz w:val="24"/>
          <w:szCs w:val="24"/>
        </w:rPr>
        <w:br/>
        <w:t xml:space="preserve">на 2018 год – 24,5 тонны, 2019 год – 25,5 тонн, 2020 год – 26,0 тонн, цена на 2018 год - </w:t>
      </w:r>
      <w:r w:rsidRPr="00781BD0">
        <w:rPr>
          <w:rFonts w:ascii="Times New Roman" w:hAnsi="Times New Roman"/>
          <w:sz w:val="24"/>
          <w:szCs w:val="24"/>
        </w:rPr>
        <w:br/>
        <w:t>2380 рублей, на 2019 год – 2400 рублей, на 2020 год – 2450 рублей за 1 грамм золота.</w:t>
      </w:r>
    </w:p>
    <w:p w:rsidR="00781BD0" w:rsidRPr="00781BD0" w:rsidRDefault="00781BD0" w:rsidP="00781BD0">
      <w:pPr>
        <w:spacing w:after="0" w:line="240" w:lineRule="auto"/>
        <w:jc w:val="both"/>
        <w:rPr>
          <w:rFonts w:ascii="Times New Roman" w:hAnsi="Times New Roman"/>
          <w:b/>
          <w:sz w:val="24"/>
          <w:szCs w:val="24"/>
        </w:rPr>
      </w:pP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Налог на добычу полезных ископаемых в виде угля</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Прогноз поступлений по налогу на 2018 год составляет 40938,0 тыс. рублей, что выше ожидаемого поступлен</w:t>
      </w:r>
      <w:r w:rsidR="0001727A">
        <w:rPr>
          <w:rFonts w:ascii="Times New Roman" w:hAnsi="Times New Roman"/>
          <w:sz w:val="24"/>
          <w:szCs w:val="24"/>
        </w:rPr>
        <w:t>ия за 2017 год на 4,1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Расчет прогноза поступлений произведен методом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Объем добычи угля, принятый при исчислении налога составляет в 2018 году - </w:t>
      </w:r>
      <w:r w:rsidRPr="00781BD0">
        <w:rPr>
          <w:rFonts w:ascii="Times New Roman" w:hAnsi="Times New Roman"/>
          <w:sz w:val="24"/>
          <w:szCs w:val="24"/>
        </w:rPr>
        <w:br/>
        <w:t>3600 тыс. тонн, в 2019 году – 3750 тыс. тонн, в 202</w:t>
      </w:r>
      <w:r w:rsidR="0001727A">
        <w:rPr>
          <w:rFonts w:ascii="Times New Roman" w:hAnsi="Times New Roman"/>
          <w:sz w:val="24"/>
          <w:szCs w:val="24"/>
        </w:rPr>
        <w:t>0 году – 3878 тыс. тонн.</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Прогноз поступлений по налогу на добычу полезных ископаемых в виде угля на </w:t>
      </w:r>
      <w:r w:rsidRPr="00781BD0">
        <w:rPr>
          <w:rFonts w:ascii="Times New Roman" w:hAnsi="Times New Roman"/>
          <w:sz w:val="24"/>
          <w:szCs w:val="24"/>
        </w:rPr>
        <w:br/>
        <w:t>2019 год составляет 42644,0 тыс. рублей, на 2020 год – 44100,0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Налоговая база при добыче угля определяется как количество добытых полезных ископаемых в натуральном выражении, налогообложение производится по налоговой ставке 11,0 рублей за тонну добытого угля с учетом коэффициента-дефлятора к ставке налога.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Прогноз поступлений налога</w:t>
      </w:r>
      <w:r w:rsidRPr="00781BD0">
        <w:rPr>
          <w:rFonts w:ascii="Times New Roman" w:hAnsi="Times New Roman"/>
          <w:i/>
          <w:sz w:val="24"/>
          <w:szCs w:val="24"/>
        </w:rPr>
        <w:t xml:space="preserve"> </w:t>
      </w:r>
      <w:r w:rsidRPr="00781BD0">
        <w:rPr>
          <w:rFonts w:ascii="Times New Roman" w:hAnsi="Times New Roman"/>
          <w:sz w:val="24"/>
          <w:szCs w:val="24"/>
        </w:rPr>
        <w:t>на добычу полезных ископаемых в виде угля в областной бюджет на 2018 год и плановый период 2019 и 2020 годов принят по данным администратора доходов - У</w:t>
      </w:r>
      <w:r w:rsidR="0001727A">
        <w:rPr>
          <w:rFonts w:ascii="Times New Roman" w:hAnsi="Times New Roman"/>
          <w:sz w:val="24"/>
          <w:szCs w:val="24"/>
        </w:rPr>
        <w:t>ФНС России по Амурской области.</w:t>
      </w:r>
    </w:p>
    <w:p w:rsidR="00781BD0" w:rsidRPr="00781BD0" w:rsidRDefault="00781BD0" w:rsidP="00781BD0">
      <w:pPr>
        <w:spacing w:after="0" w:line="240" w:lineRule="auto"/>
        <w:ind w:firstLine="680"/>
        <w:jc w:val="both"/>
        <w:rPr>
          <w:rFonts w:ascii="Times New Roman" w:hAnsi="Times New Roman"/>
          <w:b/>
          <w:i/>
          <w:sz w:val="24"/>
          <w:szCs w:val="24"/>
        </w:rPr>
      </w:pPr>
      <w:r w:rsidRPr="00781BD0">
        <w:rPr>
          <w:rFonts w:ascii="Times New Roman" w:hAnsi="Times New Roman"/>
          <w:b/>
          <w:i/>
          <w:sz w:val="24"/>
          <w:szCs w:val="24"/>
        </w:rPr>
        <w:t>Контрольно-счетная палата области считает прогноз поступлений  налога на добычу полезных ископаемых на 2018 год в объеме 899636,0 тыс. рублей обоснованным.</w:t>
      </w:r>
    </w:p>
    <w:p w:rsidR="00781BD0" w:rsidRDefault="00781BD0" w:rsidP="00781BD0">
      <w:pPr>
        <w:spacing w:after="0" w:line="240" w:lineRule="auto"/>
        <w:ind w:firstLine="680"/>
        <w:jc w:val="both"/>
        <w:rPr>
          <w:rFonts w:ascii="Times New Roman" w:hAnsi="Times New Roman"/>
          <w:sz w:val="24"/>
          <w:szCs w:val="24"/>
        </w:rPr>
      </w:pPr>
    </w:p>
    <w:p w:rsidR="00041BF3" w:rsidRPr="00D575A4" w:rsidRDefault="00041BF3" w:rsidP="00041BF3">
      <w:pPr>
        <w:tabs>
          <w:tab w:val="left" w:pos="993"/>
        </w:tabs>
        <w:spacing w:after="0" w:line="240" w:lineRule="auto"/>
        <w:ind w:firstLine="709"/>
        <w:jc w:val="both"/>
        <w:rPr>
          <w:rFonts w:ascii="Times New Roman" w:hAnsi="Times New Roman"/>
          <w:b/>
          <w:sz w:val="24"/>
          <w:szCs w:val="24"/>
        </w:rPr>
      </w:pPr>
      <w:r w:rsidRPr="00C902D7">
        <w:rPr>
          <w:rFonts w:ascii="Times New Roman" w:hAnsi="Times New Roman"/>
          <w:b/>
          <w:sz w:val="24"/>
          <w:szCs w:val="24"/>
        </w:rPr>
        <w:t>Доходы областного бюджета от использования имущества, находящегося в государственной собственности,</w:t>
      </w:r>
      <w:r w:rsidRPr="00C902D7">
        <w:rPr>
          <w:rFonts w:ascii="Times New Roman" w:hAnsi="Times New Roman"/>
          <w:sz w:val="24"/>
          <w:szCs w:val="24"/>
        </w:rPr>
        <w:t xml:space="preserve"> прогнозируются на 2018 год в сумме </w:t>
      </w:r>
      <w:r w:rsidRPr="00C902D7">
        <w:rPr>
          <w:rFonts w:ascii="Times New Roman" w:hAnsi="Times New Roman"/>
          <w:sz w:val="24"/>
          <w:szCs w:val="24"/>
        </w:rPr>
        <w:br/>
        <w:t xml:space="preserve">92716,1 тыс. рублей, что на 3543,6 тыс. рублей, или 3,7 процента, ниже оценки ожидаемого исполнения </w:t>
      </w:r>
      <w:r w:rsidRPr="00C902D7">
        <w:rPr>
          <w:rFonts w:ascii="Times New Roman" w:hAnsi="Times New Roman"/>
          <w:iCs/>
          <w:sz w:val="24"/>
          <w:szCs w:val="24"/>
        </w:rPr>
        <w:t>2017 года,</w:t>
      </w:r>
      <w:r w:rsidRPr="00C902D7">
        <w:rPr>
          <w:rFonts w:ascii="Times New Roman" w:hAnsi="Times New Roman"/>
          <w:b/>
          <w:sz w:val="24"/>
          <w:szCs w:val="24"/>
        </w:rPr>
        <w:t xml:space="preserve"> </w:t>
      </w:r>
      <w:r w:rsidRPr="00C902D7">
        <w:rPr>
          <w:rFonts w:ascii="Times New Roman" w:hAnsi="Times New Roman"/>
          <w:sz w:val="24"/>
          <w:szCs w:val="24"/>
        </w:rPr>
        <w:t xml:space="preserve">на 2019 год в сумме 94509,8 тыс. </w:t>
      </w:r>
      <w:r w:rsidRPr="00D575A4">
        <w:rPr>
          <w:rFonts w:ascii="Times New Roman" w:hAnsi="Times New Roman"/>
          <w:sz w:val="24"/>
          <w:szCs w:val="24"/>
        </w:rPr>
        <w:t xml:space="preserve">рублей (уменьшение на 1749,9 тыс. рублей, или 1,8 процента) и на 2020 год в сумме 96200,3 тыс. рублей (уменьшение на </w:t>
      </w:r>
      <w:r>
        <w:rPr>
          <w:rFonts w:ascii="Times New Roman" w:hAnsi="Times New Roman"/>
          <w:sz w:val="24"/>
          <w:szCs w:val="24"/>
        </w:rPr>
        <w:br/>
      </w:r>
      <w:r w:rsidRPr="00D575A4">
        <w:rPr>
          <w:rFonts w:ascii="Times New Roman" w:hAnsi="Times New Roman"/>
          <w:sz w:val="24"/>
          <w:szCs w:val="24"/>
        </w:rPr>
        <w:t>59,4 тыс. рублей, или 0,1 процента</w:t>
      </w:r>
      <w:r w:rsidR="0001727A">
        <w:rPr>
          <w:rFonts w:ascii="Times New Roman" w:hAnsi="Times New Roman"/>
          <w:b/>
          <w:sz w:val="24"/>
          <w:szCs w:val="24"/>
        </w:rPr>
        <w:t>).</w:t>
      </w:r>
    </w:p>
    <w:p w:rsidR="00041BF3" w:rsidRPr="00206CF3" w:rsidRDefault="00041BF3" w:rsidP="00041BF3">
      <w:pPr>
        <w:spacing w:after="0" w:line="240" w:lineRule="auto"/>
        <w:ind w:firstLine="709"/>
        <w:jc w:val="both"/>
        <w:rPr>
          <w:rFonts w:ascii="Times New Roman" w:hAnsi="Times New Roman"/>
          <w:sz w:val="24"/>
          <w:szCs w:val="24"/>
        </w:rPr>
      </w:pPr>
      <w:r w:rsidRPr="00206CF3">
        <w:rPr>
          <w:rFonts w:ascii="Times New Roman" w:hAnsi="Times New Roman"/>
          <w:sz w:val="24"/>
          <w:szCs w:val="24"/>
        </w:rPr>
        <w:t>Основные поступления указанных доходов формируются за счет:</w:t>
      </w:r>
    </w:p>
    <w:p w:rsidR="00041BF3" w:rsidRPr="00041BF3" w:rsidRDefault="00041BF3" w:rsidP="00472099">
      <w:pPr>
        <w:pStyle w:val="a4"/>
        <w:numPr>
          <w:ilvl w:val="0"/>
          <w:numId w:val="10"/>
        </w:numPr>
        <w:tabs>
          <w:tab w:val="left" w:pos="1134"/>
        </w:tabs>
        <w:spacing w:after="0" w:line="240" w:lineRule="auto"/>
        <w:ind w:left="0" w:firstLine="709"/>
        <w:jc w:val="both"/>
        <w:rPr>
          <w:rFonts w:ascii="Times New Roman" w:hAnsi="Times New Roman"/>
          <w:sz w:val="24"/>
          <w:szCs w:val="24"/>
        </w:rPr>
      </w:pPr>
      <w:r w:rsidRPr="00041BF3">
        <w:rPr>
          <w:rFonts w:ascii="Times New Roman" w:hAnsi="Times New Roman"/>
          <w:b/>
          <w:sz w:val="24"/>
          <w:szCs w:val="24"/>
        </w:rPr>
        <w:t>доходов</w:t>
      </w:r>
      <w:r w:rsidRPr="00041BF3">
        <w:rPr>
          <w:rFonts w:ascii="Times New Roman" w:hAnsi="Times New Roman"/>
          <w:sz w:val="24"/>
          <w:szCs w:val="24"/>
        </w:rPr>
        <w:t xml:space="preserve"> </w:t>
      </w:r>
      <w:r w:rsidRPr="00041BF3">
        <w:rPr>
          <w:rFonts w:ascii="Times New Roman" w:hAnsi="Times New Roman"/>
          <w:b/>
          <w:sz w:val="24"/>
          <w:szCs w:val="24"/>
        </w:rPr>
        <w:t>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r w:rsidRPr="00041BF3">
        <w:rPr>
          <w:rFonts w:ascii="Times New Roman" w:hAnsi="Times New Roman"/>
          <w:sz w:val="24"/>
          <w:szCs w:val="24"/>
        </w:rPr>
        <w:t xml:space="preserve"> прогнозируемых в законопроекте в размере 1 766,4 тыс. рублей, что на 2823,6 тыс. рублей, или 61,5 процента, ниже плановых показателей 2017 года, на 2019 год в сумме 2599,0 тыс. рублей, на 2020 год в сумме </w:t>
      </w:r>
      <w:r w:rsidRPr="00041BF3">
        <w:rPr>
          <w:rFonts w:ascii="Times New Roman" w:hAnsi="Times New Roman"/>
          <w:sz w:val="24"/>
          <w:szCs w:val="24"/>
        </w:rPr>
        <w:br/>
        <w:t xml:space="preserve">2794,0 тыс. рублей. Уменьшение к плану по данному коду бюджетной классификации объясняется снижением суммы чистой прибыли обществ, принявших решение о выплате дивидендов по </w:t>
      </w:r>
      <w:r w:rsidR="0001727A">
        <w:rPr>
          <w:rFonts w:ascii="Times New Roman" w:hAnsi="Times New Roman"/>
          <w:sz w:val="24"/>
          <w:szCs w:val="24"/>
        </w:rPr>
        <w:t>результатам работы за 2016 год.</w:t>
      </w:r>
    </w:p>
    <w:p w:rsidR="00041BF3" w:rsidRDefault="00E626F9" w:rsidP="00041BF3">
      <w:pPr>
        <w:spacing w:after="0" w:line="240" w:lineRule="auto"/>
        <w:ind w:firstLine="708"/>
        <w:jc w:val="both"/>
        <w:rPr>
          <w:rFonts w:ascii="Times New Roman" w:hAnsi="Times New Roman"/>
          <w:sz w:val="24"/>
          <w:szCs w:val="24"/>
        </w:rPr>
      </w:pPr>
      <w:r>
        <w:rPr>
          <w:rFonts w:ascii="Times New Roman" w:hAnsi="Times New Roman"/>
          <w:sz w:val="24"/>
          <w:szCs w:val="24"/>
        </w:rPr>
        <w:t>А</w:t>
      </w:r>
      <w:r w:rsidRPr="00606483">
        <w:rPr>
          <w:rFonts w:ascii="Times New Roman" w:hAnsi="Times New Roman"/>
          <w:sz w:val="24"/>
          <w:szCs w:val="24"/>
        </w:rPr>
        <w:t>кции (пакеты акций</w:t>
      </w:r>
      <w:r>
        <w:rPr>
          <w:rFonts w:ascii="Times New Roman" w:hAnsi="Times New Roman"/>
          <w:sz w:val="24"/>
          <w:szCs w:val="24"/>
        </w:rPr>
        <w:t>)</w:t>
      </w:r>
      <w:r w:rsidRPr="00606483">
        <w:rPr>
          <w:rFonts w:ascii="Times New Roman" w:hAnsi="Times New Roman"/>
          <w:sz w:val="24"/>
          <w:szCs w:val="24"/>
        </w:rPr>
        <w:t xml:space="preserve"> </w:t>
      </w:r>
      <w:r>
        <w:rPr>
          <w:rFonts w:ascii="Times New Roman" w:hAnsi="Times New Roman"/>
          <w:sz w:val="24"/>
          <w:szCs w:val="24"/>
        </w:rPr>
        <w:t>11 открытых акционерных обществ</w:t>
      </w:r>
      <w:r w:rsidR="00041BF3" w:rsidRPr="00606483">
        <w:rPr>
          <w:rFonts w:ascii="Times New Roman" w:hAnsi="Times New Roman"/>
          <w:sz w:val="24"/>
          <w:szCs w:val="24"/>
        </w:rPr>
        <w:t xml:space="preserve"> принадлежат Амурской области. За период 2014-2017 годов из средств областного бюджета выделено 189,9 млн. рублей на приобретение акций акционерных обществ. </w:t>
      </w:r>
      <w:r>
        <w:rPr>
          <w:rFonts w:ascii="Times New Roman" w:hAnsi="Times New Roman"/>
          <w:sz w:val="24"/>
          <w:szCs w:val="24"/>
        </w:rPr>
        <w:t>З</w:t>
      </w:r>
      <w:r w:rsidR="00041BF3" w:rsidRPr="00606483">
        <w:rPr>
          <w:rFonts w:ascii="Times New Roman" w:hAnsi="Times New Roman"/>
          <w:sz w:val="24"/>
          <w:szCs w:val="24"/>
        </w:rPr>
        <w:t xml:space="preserve">а </w:t>
      </w:r>
      <w:r>
        <w:rPr>
          <w:rFonts w:ascii="Times New Roman" w:hAnsi="Times New Roman"/>
          <w:sz w:val="24"/>
          <w:szCs w:val="24"/>
        </w:rPr>
        <w:t xml:space="preserve">этот же </w:t>
      </w:r>
      <w:r w:rsidR="00041BF3" w:rsidRPr="00606483">
        <w:rPr>
          <w:rFonts w:ascii="Times New Roman" w:hAnsi="Times New Roman"/>
          <w:sz w:val="24"/>
          <w:szCs w:val="24"/>
        </w:rPr>
        <w:t>период в доход областного бюджета получены дивиденды от деятельности акционерных об</w:t>
      </w:r>
      <w:r w:rsidR="0001727A">
        <w:rPr>
          <w:rFonts w:ascii="Times New Roman" w:hAnsi="Times New Roman"/>
          <w:sz w:val="24"/>
          <w:szCs w:val="24"/>
        </w:rPr>
        <w:t>ществ в сумме 13,8 тыс. рублей.</w:t>
      </w:r>
    </w:p>
    <w:p w:rsidR="00041BF3" w:rsidRPr="00606483" w:rsidRDefault="00041BF3" w:rsidP="00041BF3">
      <w:pPr>
        <w:spacing w:after="0" w:line="240" w:lineRule="auto"/>
        <w:ind w:firstLine="708"/>
        <w:jc w:val="both"/>
        <w:rPr>
          <w:rFonts w:ascii="Times New Roman" w:hAnsi="Times New Roman"/>
          <w:sz w:val="24"/>
          <w:szCs w:val="24"/>
        </w:rPr>
      </w:pPr>
      <w:r w:rsidRPr="00606483">
        <w:rPr>
          <w:rFonts w:ascii="Times New Roman" w:hAnsi="Times New Roman"/>
          <w:sz w:val="24"/>
          <w:szCs w:val="24"/>
        </w:rPr>
        <w:t xml:space="preserve">Доля полученных в доход областного бюджета дивидендов по акциям, находящимся в областной собственности, за </w:t>
      </w:r>
      <w:r w:rsidRPr="001F4207">
        <w:rPr>
          <w:rFonts w:ascii="Times New Roman" w:hAnsi="Times New Roman"/>
          <w:sz w:val="24"/>
          <w:szCs w:val="24"/>
        </w:rPr>
        <w:t>последние четыре года</w:t>
      </w:r>
      <w:r w:rsidRPr="00606483">
        <w:rPr>
          <w:rFonts w:ascii="Times New Roman" w:hAnsi="Times New Roman"/>
          <w:sz w:val="24"/>
          <w:szCs w:val="24"/>
        </w:rPr>
        <w:t xml:space="preserve"> составляет </w:t>
      </w:r>
      <w:r w:rsidRPr="001F4207">
        <w:rPr>
          <w:rFonts w:ascii="Times New Roman" w:hAnsi="Times New Roman"/>
          <w:sz w:val="24"/>
          <w:szCs w:val="24"/>
        </w:rPr>
        <w:t>7,3</w:t>
      </w:r>
      <w:r>
        <w:rPr>
          <w:rFonts w:ascii="Times New Roman" w:hAnsi="Times New Roman"/>
          <w:sz w:val="24"/>
          <w:szCs w:val="24"/>
        </w:rPr>
        <w:t xml:space="preserve"> процента</w:t>
      </w:r>
      <w:r w:rsidRPr="00606483">
        <w:rPr>
          <w:rFonts w:ascii="Times New Roman" w:hAnsi="Times New Roman"/>
          <w:sz w:val="24"/>
          <w:szCs w:val="24"/>
        </w:rPr>
        <w:t xml:space="preserve"> от выделенных из областного бюджета средств на приобретение (увеличение стоимости) акций, находящихся в областной собственности, что свидетельствует о неэффективном использовании средств областного бюджета, вл</w:t>
      </w:r>
      <w:r w:rsidR="0001727A">
        <w:rPr>
          <w:rFonts w:ascii="Times New Roman" w:hAnsi="Times New Roman"/>
          <w:sz w:val="24"/>
          <w:szCs w:val="24"/>
        </w:rPr>
        <w:t>оженных в акционерные общества.</w:t>
      </w:r>
    </w:p>
    <w:p w:rsidR="00041BF3" w:rsidRPr="000F092E" w:rsidRDefault="00041BF3" w:rsidP="00041BF3">
      <w:pPr>
        <w:numPr>
          <w:ilvl w:val="0"/>
          <w:numId w:val="3"/>
        </w:numPr>
        <w:spacing w:after="0" w:line="240" w:lineRule="auto"/>
        <w:ind w:firstLine="709"/>
        <w:jc w:val="both"/>
        <w:rPr>
          <w:rFonts w:ascii="Times New Roman" w:hAnsi="Times New Roman"/>
          <w:sz w:val="24"/>
          <w:szCs w:val="24"/>
        </w:rPr>
      </w:pPr>
      <w:r w:rsidRPr="000F092E">
        <w:rPr>
          <w:rFonts w:ascii="Times New Roman" w:hAnsi="Times New Roman"/>
          <w:b/>
          <w:sz w:val="24"/>
          <w:szCs w:val="24"/>
        </w:rPr>
        <w:t>процентов, полученных от предоставления бюджетных кредитов внутри страны за счет средств областного бюджета</w:t>
      </w:r>
      <w:r w:rsidRPr="000F092E">
        <w:rPr>
          <w:rFonts w:ascii="Times New Roman" w:hAnsi="Times New Roman"/>
          <w:sz w:val="24"/>
          <w:szCs w:val="24"/>
        </w:rPr>
        <w:t xml:space="preserve"> - в размере 894,0 тыс. рублей в 2018 году, </w:t>
      </w:r>
      <w:r>
        <w:rPr>
          <w:rFonts w:ascii="Times New Roman" w:hAnsi="Times New Roman"/>
          <w:sz w:val="24"/>
          <w:szCs w:val="24"/>
        </w:rPr>
        <w:br/>
      </w:r>
      <w:r w:rsidRPr="000F092E">
        <w:rPr>
          <w:rFonts w:ascii="Times New Roman" w:hAnsi="Times New Roman"/>
          <w:sz w:val="24"/>
          <w:szCs w:val="24"/>
        </w:rPr>
        <w:t>63,0 тыс. рублей в 2019 году, 38,0 тыс. рублей в 2020 году, в том числе:</w:t>
      </w:r>
    </w:p>
    <w:p w:rsidR="00041BF3" w:rsidRPr="000F092E" w:rsidRDefault="00041BF3" w:rsidP="00041BF3">
      <w:pPr>
        <w:spacing w:after="0" w:line="240" w:lineRule="auto"/>
        <w:ind w:firstLine="709"/>
        <w:jc w:val="both"/>
        <w:rPr>
          <w:rFonts w:ascii="Times New Roman" w:hAnsi="Times New Roman"/>
          <w:sz w:val="24"/>
          <w:szCs w:val="24"/>
        </w:rPr>
      </w:pPr>
      <w:r w:rsidRPr="000F092E">
        <w:rPr>
          <w:rFonts w:ascii="Times New Roman" w:hAnsi="Times New Roman"/>
          <w:sz w:val="24"/>
          <w:szCs w:val="24"/>
        </w:rPr>
        <w:t xml:space="preserve">-проценты, полученные от предоставления из областного бюджета бюджетам муниципальных районов, городских округов бюджетных кредитов для частичного покрытия </w:t>
      </w:r>
      <w:r w:rsidRPr="000F092E">
        <w:rPr>
          <w:rFonts w:ascii="Times New Roman" w:hAnsi="Times New Roman"/>
          <w:sz w:val="24"/>
          <w:szCs w:val="24"/>
        </w:rPr>
        <w:lastRenderedPageBreak/>
        <w:t xml:space="preserve">дефицитов бюджетов муниципальных районов, городских округов – 77,0 тыс. рублей в </w:t>
      </w:r>
      <w:r>
        <w:rPr>
          <w:rFonts w:ascii="Times New Roman" w:hAnsi="Times New Roman"/>
          <w:sz w:val="24"/>
          <w:szCs w:val="24"/>
        </w:rPr>
        <w:br/>
      </w:r>
      <w:r w:rsidRPr="000F092E">
        <w:rPr>
          <w:rFonts w:ascii="Times New Roman" w:hAnsi="Times New Roman"/>
          <w:sz w:val="24"/>
          <w:szCs w:val="24"/>
        </w:rPr>
        <w:t xml:space="preserve">2018 году, 63,0 тыс. рублей в 2019 году </w:t>
      </w:r>
      <w:r w:rsidR="0001727A">
        <w:rPr>
          <w:rFonts w:ascii="Times New Roman" w:hAnsi="Times New Roman"/>
          <w:sz w:val="24"/>
          <w:szCs w:val="24"/>
        </w:rPr>
        <w:t>и 38,0 тыс. рублей в 2020 году;</w:t>
      </w:r>
    </w:p>
    <w:p w:rsidR="00041BF3" w:rsidRPr="000F092E" w:rsidRDefault="00041BF3" w:rsidP="00041BF3">
      <w:pPr>
        <w:spacing w:after="0" w:line="240" w:lineRule="auto"/>
        <w:ind w:firstLine="709"/>
        <w:jc w:val="both"/>
        <w:rPr>
          <w:rFonts w:ascii="Times New Roman" w:hAnsi="Times New Roman"/>
          <w:sz w:val="24"/>
          <w:szCs w:val="24"/>
        </w:rPr>
      </w:pPr>
      <w:r w:rsidRPr="000F092E">
        <w:rPr>
          <w:rFonts w:ascii="Times New Roman" w:hAnsi="Times New Roman"/>
          <w:sz w:val="24"/>
          <w:szCs w:val="24"/>
        </w:rPr>
        <w:t>-проценты, полученные от предоставления бюджетных кредитов, предоставленных для частичного покрытия дефицитов бюджетов муниципальных районов, городских округов, возврат которых осуществляется муниципальными районами, городскими округами на условиях реструктуризации задолженности по указанным бюджетным кредитам в размере 817,0 тыс. рублей в 2018 году.</w:t>
      </w:r>
    </w:p>
    <w:p w:rsidR="00041BF3" w:rsidRPr="000F092E" w:rsidRDefault="00041BF3" w:rsidP="00041BF3">
      <w:pPr>
        <w:spacing w:after="0" w:line="240" w:lineRule="auto"/>
        <w:ind w:firstLine="709"/>
        <w:jc w:val="both"/>
        <w:rPr>
          <w:rFonts w:ascii="Times New Roman" w:hAnsi="Times New Roman"/>
          <w:sz w:val="24"/>
          <w:szCs w:val="24"/>
        </w:rPr>
      </w:pPr>
      <w:r w:rsidRPr="000F092E">
        <w:rPr>
          <w:rFonts w:ascii="Times New Roman" w:hAnsi="Times New Roman"/>
          <w:sz w:val="24"/>
          <w:szCs w:val="24"/>
        </w:rPr>
        <w:t>Прогнозируемые суммы поступлений определен</w:t>
      </w:r>
      <w:r w:rsidR="00E626F9">
        <w:rPr>
          <w:rFonts w:ascii="Times New Roman" w:hAnsi="Times New Roman"/>
          <w:sz w:val="24"/>
          <w:szCs w:val="24"/>
        </w:rPr>
        <w:t xml:space="preserve"> администраторо</w:t>
      </w:r>
      <w:r w:rsidRPr="000F092E">
        <w:rPr>
          <w:rFonts w:ascii="Times New Roman" w:hAnsi="Times New Roman"/>
          <w:sz w:val="24"/>
          <w:szCs w:val="24"/>
        </w:rPr>
        <w:t>м указанных доходов – министерством финансов Амурской области исходя из размера остатков непогашенной задолженности, процентных ставок, установленных кредитными договорами и сроков возврата предоставленных кредитов;</w:t>
      </w:r>
    </w:p>
    <w:p w:rsidR="00041BF3" w:rsidRPr="002511C8" w:rsidRDefault="00041BF3" w:rsidP="00041BF3">
      <w:pPr>
        <w:numPr>
          <w:ilvl w:val="0"/>
          <w:numId w:val="3"/>
        </w:numPr>
        <w:spacing w:after="0" w:line="240" w:lineRule="auto"/>
        <w:ind w:firstLine="709"/>
        <w:jc w:val="both"/>
        <w:rPr>
          <w:rFonts w:ascii="Times New Roman" w:hAnsi="Times New Roman"/>
          <w:sz w:val="24"/>
          <w:szCs w:val="24"/>
        </w:rPr>
      </w:pPr>
      <w:r w:rsidRPr="002511C8">
        <w:rPr>
          <w:rFonts w:ascii="Times New Roman" w:hAnsi="Times New Roman"/>
          <w:b/>
          <w:sz w:val="24"/>
          <w:szCs w:val="24"/>
        </w:rPr>
        <w:t xml:space="preserve">доходов, получаемых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а также имущества государственных унитарных предприятий, в том числе казенных) - </w:t>
      </w:r>
      <w:r w:rsidRPr="002511C8">
        <w:rPr>
          <w:rFonts w:ascii="Times New Roman" w:hAnsi="Times New Roman"/>
          <w:sz w:val="24"/>
          <w:szCs w:val="24"/>
        </w:rPr>
        <w:t xml:space="preserve">прогнозируемых в законопроекте в размере 85806,5 тыс. рублей, что выше оценки ожидаемого исполнения 2017 года на </w:t>
      </w:r>
      <w:r w:rsidRPr="002511C8">
        <w:rPr>
          <w:rFonts w:ascii="Times New Roman" w:hAnsi="Times New Roman"/>
          <w:sz w:val="24"/>
          <w:szCs w:val="24"/>
        </w:rPr>
        <w:br/>
        <w:t>1340,9 тыс. рублей, или 1,6 процента, в том числе:</w:t>
      </w:r>
    </w:p>
    <w:p w:rsidR="00041BF3" w:rsidRPr="00C2497E" w:rsidRDefault="00041BF3" w:rsidP="00041BF3">
      <w:pPr>
        <w:spacing w:after="0" w:line="240" w:lineRule="auto"/>
        <w:ind w:firstLine="709"/>
        <w:jc w:val="both"/>
        <w:rPr>
          <w:rFonts w:ascii="Times New Roman" w:hAnsi="Times New Roman"/>
          <w:sz w:val="24"/>
          <w:szCs w:val="24"/>
        </w:rPr>
      </w:pPr>
      <w:r w:rsidRPr="00C2497E">
        <w:rPr>
          <w:rFonts w:ascii="Times New Roman" w:hAnsi="Times New Roman"/>
          <w:sz w:val="24"/>
          <w:szCs w:val="24"/>
        </w:rPr>
        <w:t>-доходы, получаемые в виде арендной платы, а также средств</w:t>
      </w:r>
      <w:r w:rsidR="00E626F9">
        <w:rPr>
          <w:rFonts w:ascii="Times New Roman" w:hAnsi="Times New Roman"/>
          <w:sz w:val="24"/>
          <w:szCs w:val="24"/>
        </w:rPr>
        <w:t>а</w:t>
      </w:r>
      <w:r w:rsidRPr="00C2497E">
        <w:rPr>
          <w:rFonts w:ascii="Times New Roman" w:hAnsi="Times New Roman"/>
          <w:sz w:val="24"/>
          <w:szCs w:val="24"/>
        </w:rPr>
        <w:t xml:space="preserve"> от продажи права на заключение договоров аренды на земли, находящиеся в собственности Амурской области (за исключением земельных участков бюджетных и автономных учреждений субъектов Российской Федерации) по данным администратора доходов областного бюджета – министерства имущественных отношений Амурской области планируются на 2018 год в размере 83546,0 тыс. рублей, в 2019 году – 85340,4, в 2020 году – 86840,4 тыс. рублей;</w:t>
      </w:r>
    </w:p>
    <w:p w:rsidR="00041BF3" w:rsidRPr="002511C8" w:rsidRDefault="00041BF3" w:rsidP="00041BF3">
      <w:pPr>
        <w:tabs>
          <w:tab w:val="left" w:pos="9356"/>
        </w:tabs>
        <w:spacing w:after="0" w:line="240" w:lineRule="auto"/>
        <w:ind w:firstLine="709"/>
        <w:jc w:val="both"/>
        <w:rPr>
          <w:rFonts w:ascii="TimesNewRomanPSMT" w:eastAsiaTheme="minorHAnsi" w:hAnsi="TimesNewRomanPSMT" w:cs="TimesNewRomanPSMT"/>
          <w:sz w:val="24"/>
          <w:szCs w:val="24"/>
          <w:lang w:eastAsia="en-US"/>
        </w:rPr>
      </w:pPr>
      <w:r w:rsidRPr="00C2497E">
        <w:rPr>
          <w:rFonts w:ascii="Times New Roman" w:hAnsi="Times New Roman"/>
          <w:sz w:val="24"/>
          <w:szCs w:val="24"/>
        </w:rPr>
        <w:t xml:space="preserve">-доходы от сдачи в аренду имущества, находящегося в оперативном управлении </w:t>
      </w:r>
      <w:r w:rsidRPr="002511C8">
        <w:rPr>
          <w:rFonts w:ascii="Times New Roman" w:hAnsi="Times New Roman"/>
          <w:sz w:val="24"/>
          <w:szCs w:val="24"/>
        </w:rPr>
        <w:t xml:space="preserve">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планируются в размере 538,3 тыс. рублей в 2018 году, </w:t>
      </w:r>
      <w:r w:rsidRPr="002511C8">
        <w:rPr>
          <w:rFonts w:ascii="Times New Roman" w:hAnsi="Times New Roman"/>
          <w:sz w:val="24"/>
          <w:szCs w:val="24"/>
        </w:rPr>
        <w:br/>
        <w:t>543,1 тыс. рублей в 2019 году, 548,0 тыс. рублей в 2020 году;</w:t>
      </w:r>
    </w:p>
    <w:p w:rsidR="00041BF3" w:rsidRPr="00C2497E" w:rsidRDefault="00041BF3" w:rsidP="00041BF3">
      <w:pPr>
        <w:tabs>
          <w:tab w:val="left" w:pos="9356"/>
        </w:tabs>
        <w:spacing w:after="0" w:line="240" w:lineRule="auto"/>
        <w:ind w:firstLine="709"/>
        <w:jc w:val="both"/>
        <w:rPr>
          <w:rFonts w:ascii="Times New Roman" w:hAnsi="Times New Roman"/>
          <w:b/>
          <w:sz w:val="24"/>
          <w:szCs w:val="24"/>
        </w:rPr>
      </w:pPr>
      <w:r w:rsidRPr="002511C8">
        <w:rPr>
          <w:rFonts w:ascii="Times New Roman" w:hAnsi="Times New Roman"/>
          <w:sz w:val="24"/>
          <w:szCs w:val="24"/>
        </w:rPr>
        <w:t>-доходы от сдачи в аренду имущества, составляющего казну субъекта Российской Федерации (за исключением земельных участков) планируются в размере 1722,2 тыс. рублей в 2018 году, 1737,7 тыс. рублей в 2019 году, 548,0 тыс. рублей в 2020</w:t>
      </w:r>
      <w:r>
        <w:rPr>
          <w:rFonts w:ascii="Times New Roman" w:hAnsi="Times New Roman"/>
          <w:sz w:val="24"/>
          <w:szCs w:val="24"/>
        </w:rPr>
        <w:t xml:space="preserve"> </w:t>
      </w:r>
      <w:r w:rsidRPr="00C2497E">
        <w:rPr>
          <w:rFonts w:ascii="Times New Roman" w:hAnsi="Times New Roman"/>
          <w:sz w:val="24"/>
          <w:szCs w:val="24"/>
        </w:rPr>
        <w:t>году;</w:t>
      </w:r>
    </w:p>
    <w:p w:rsidR="00041BF3" w:rsidRPr="00041BF3" w:rsidRDefault="00041BF3" w:rsidP="00472099">
      <w:pPr>
        <w:pStyle w:val="a4"/>
        <w:numPr>
          <w:ilvl w:val="0"/>
          <w:numId w:val="10"/>
        </w:numPr>
        <w:tabs>
          <w:tab w:val="left" w:pos="993"/>
        </w:tabs>
        <w:spacing w:after="0" w:line="240" w:lineRule="auto"/>
        <w:ind w:left="0" w:firstLine="709"/>
        <w:jc w:val="both"/>
        <w:rPr>
          <w:rFonts w:ascii="Times New Roman" w:hAnsi="Times New Roman"/>
          <w:sz w:val="24"/>
          <w:szCs w:val="24"/>
        </w:rPr>
      </w:pPr>
      <w:r w:rsidRPr="00041BF3">
        <w:rPr>
          <w:rFonts w:ascii="Times New Roman" w:hAnsi="Times New Roman"/>
          <w:b/>
          <w:sz w:val="24"/>
          <w:szCs w:val="24"/>
        </w:rPr>
        <w:t>платежей от государственных унитарных предприятий</w:t>
      </w:r>
      <w:r w:rsidRPr="00041BF3">
        <w:rPr>
          <w:rFonts w:ascii="Times New Roman" w:hAnsi="Times New Roman"/>
          <w:sz w:val="24"/>
          <w:szCs w:val="24"/>
        </w:rPr>
        <w:t xml:space="preserve"> (в их составе 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 прогнозируемых на 2018 год в сумме 4213,8 тыс. рублей, что ниже оценки ожидаемого исполнения 2017 года на 392,4 </w:t>
      </w:r>
      <w:r w:rsidRPr="00041BF3">
        <w:rPr>
          <w:rFonts w:ascii="Times New Roman" w:hAnsi="Times New Roman"/>
          <w:iCs/>
          <w:sz w:val="24"/>
          <w:szCs w:val="24"/>
        </w:rPr>
        <w:t>тыс. рублей</w:t>
      </w:r>
      <w:r w:rsidRPr="00041BF3">
        <w:rPr>
          <w:rFonts w:ascii="Times New Roman" w:hAnsi="Times New Roman"/>
          <w:sz w:val="24"/>
          <w:szCs w:val="24"/>
        </w:rPr>
        <w:t>.</w:t>
      </w:r>
      <w:r w:rsidRPr="00041BF3">
        <w:rPr>
          <w:rFonts w:ascii="Times New Roman" w:hAnsi="Times New Roman"/>
          <w:b/>
          <w:sz w:val="24"/>
          <w:szCs w:val="24"/>
        </w:rPr>
        <w:t xml:space="preserve"> </w:t>
      </w:r>
      <w:r w:rsidRPr="00041BF3">
        <w:rPr>
          <w:rFonts w:ascii="Times New Roman" w:hAnsi="Times New Roman"/>
          <w:sz w:val="24"/>
          <w:szCs w:val="24"/>
        </w:rPr>
        <w:t>Бюджетные назначения определены в сумме по 4205,7 тыс. рублей на 2019 -2020 годы;</w:t>
      </w:r>
    </w:p>
    <w:p w:rsidR="00041BF3" w:rsidRPr="008339D8" w:rsidRDefault="00041BF3" w:rsidP="00472099">
      <w:pPr>
        <w:numPr>
          <w:ilvl w:val="0"/>
          <w:numId w:val="6"/>
        </w:numPr>
        <w:spacing w:after="0" w:line="240" w:lineRule="auto"/>
        <w:ind w:firstLine="709"/>
        <w:jc w:val="both"/>
        <w:rPr>
          <w:rFonts w:ascii="Times New Roman" w:hAnsi="Times New Roman"/>
          <w:sz w:val="24"/>
          <w:szCs w:val="24"/>
        </w:rPr>
      </w:pPr>
      <w:r w:rsidRPr="008339D8">
        <w:rPr>
          <w:rFonts w:ascii="Times New Roman" w:hAnsi="Times New Roman"/>
          <w:b/>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в отношении земельных участков, находящихся в собственности субъектов Российской Федерации</w:t>
      </w:r>
      <w:r w:rsidR="00E626F9">
        <w:rPr>
          <w:rFonts w:ascii="Times New Roman" w:hAnsi="Times New Roman"/>
          <w:b/>
          <w:sz w:val="24"/>
          <w:szCs w:val="24"/>
        </w:rPr>
        <w:t>,</w:t>
      </w:r>
      <w:r w:rsidRPr="008339D8">
        <w:rPr>
          <w:rFonts w:ascii="Times New Roman" w:hAnsi="Times New Roman"/>
          <w:b/>
          <w:sz w:val="24"/>
          <w:szCs w:val="24"/>
        </w:rPr>
        <w:t xml:space="preserve"> </w:t>
      </w:r>
      <w:r w:rsidRPr="008339D8">
        <w:rPr>
          <w:rFonts w:ascii="Times New Roman" w:hAnsi="Times New Roman"/>
          <w:sz w:val="24"/>
          <w:szCs w:val="24"/>
        </w:rPr>
        <w:t>предусмотренной в законопроекте в сумме 35,4 тыс. рублей на 2018 год, и по 20,9 тыс. рублей на 2019 -2020 годы</w:t>
      </w:r>
      <w:r>
        <w:rPr>
          <w:rFonts w:ascii="Times New Roman" w:hAnsi="Times New Roman"/>
          <w:sz w:val="24"/>
          <w:szCs w:val="24"/>
        </w:rPr>
        <w:t>.</w:t>
      </w:r>
    </w:p>
    <w:p w:rsidR="00041BF3" w:rsidRPr="0062263F" w:rsidRDefault="00041BF3" w:rsidP="00041BF3">
      <w:pPr>
        <w:spacing w:after="0" w:line="240" w:lineRule="auto"/>
        <w:ind w:firstLine="709"/>
        <w:jc w:val="both"/>
        <w:rPr>
          <w:rFonts w:ascii="Times New Roman" w:hAnsi="Times New Roman"/>
          <w:sz w:val="24"/>
          <w:szCs w:val="24"/>
        </w:rPr>
      </w:pPr>
      <w:r w:rsidRPr="003C06F0">
        <w:rPr>
          <w:rFonts w:ascii="Times New Roman" w:hAnsi="Times New Roman"/>
          <w:sz w:val="24"/>
          <w:szCs w:val="24"/>
        </w:rPr>
        <w:t xml:space="preserve">Структура доходов от использования имущества, находящегося в государственной собственности Амурской области, на 2018 год представлена диаграммой </w:t>
      </w:r>
      <w:r w:rsidRPr="00E220E3">
        <w:rPr>
          <w:rFonts w:ascii="Times New Roman" w:hAnsi="Times New Roman"/>
          <w:sz w:val="24"/>
          <w:szCs w:val="24"/>
        </w:rPr>
        <w:t xml:space="preserve">на рисунке 12. </w:t>
      </w:r>
      <w:r w:rsidRPr="003C06F0">
        <w:rPr>
          <w:rFonts w:ascii="Times New Roman" w:hAnsi="Times New Roman"/>
          <w:sz w:val="24"/>
          <w:szCs w:val="24"/>
        </w:rPr>
        <w:t>Наибольший удельный вес в структуре доходов от использования имущества занимают</w:t>
      </w:r>
      <w:r w:rsidRPr="003C06F0">
        <w:rPr>
          <w:rFonts w:ascii="Times New Roman" w:hAnsi="Times New Roman"/>
          <w:b/>
          <w:sz w:val="24"/>
          <w:szCs w:val="24"/>
        </w:rPr>
        <w:t xml:space="preserve"> </w:t>
      </w:r>
      <w:r w:rsidRPr="003C06F0">
        <w:rPr>
          <w:rFonts w:ascii="Times New Roman" w:hAnsi="Times New Roman"/>
          <w:sz w:val="24"/>
          <w:szCs w:val="24"/>
        </w:rPr>
        <w:t xml:space="preserve">доходы, получаемые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а также имущества государственных унитарных предприятий, в том числе казенных) </w:t>
      </w:r>
      <w:r w:rsidRPr="0062263F">
        <w:rPr>
          <w:rFonts w:ascii="Times New Roman" w:hAnsi="Times New Roman"/>
          <w:sz w:val="24"/>
          <w:szCs w:val="24"/>
        </w:rPr>
        <w:t>– 92,5 процента.</w:t>
      </w:r>
    </w:p>
    <w:p w:rsidR="00041BF3" w:rsidRDefault="00041BF3" w:rsidP="0001727A">
      <w:pPr>
        <w:pStyle w:val="ac"/>
        <w:ind w:firstLine="0"/>
        <w:rPr>
          <w:b/>
          <w:sz w:val="24"/>
          <w:szCs w:val="24"/>
        </w:rPr>
      </w:pPr>
      <w:r w:rsidRPr="00DD29E1">
        <w:rPr>
          <w:noProof/>
          <w:color w:val="FF0000"/>
        </w:rPr>
        <w:lastRenderedPageBreak/>
        <w:drawing>
          <wp:inline distT="0" distB="0" distL="0" distR="0" wp14:anchorId="0E61073C" wp14:editId="3B5F5048">
            <wp:extent cx="6172200" cy="378142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1BF3" w:rsidRPr="00F77814" w:rsidRDefault="00041BF3" w:rsidP="00041BF3">
      <w:pPr>
        <w:spacing w:after="120"/>
        <w:ind w:left="284"/>
        <w:jc w:val="both"/>
        <w:rPr>
          <w:rFonts w:ascii="Times New Roman" w:hAnsi="Times New Roman"/>
          <w:b/>
          <w:sz w:val="24"/>
          <w:szCs w:val="24"/>
        </w:rPr>
      </w:pPr>
      <w:r w:rsidRPr="003C49EC">
        <w:rPr>
          <w:rFonts w:ascii="Times New Roman" w:hAnsi="Times New Roman"/>
          <w:b/>
          <w:sz w:val="24"/>
          <w:szCs w:val="24"/>
        </w:rPr>
        <w:t xml:space="preserve">Рис. 12 - Структура </w:t>
      </w:r>
      <w:r w:rsidRPr="00F77814">
        <w:rPr>
          <w:rFonts w:ascii="Times New Roman" w:hAnsi="Times New Roman"/>
          <w:b/>
          <w:sz w:val="24"/>
          <w:szCs w:val="24"/>
        </w:rPr>
        <w:t>доходов от использования имущества, находящегося в государственной собственности Амурской области</w:t>
      </w:r>
      <w:r>
        <w:rPr>
          <w:rFonts w:ascii="Times New Roman" w:hAnsi="Times New Roman"/>
          <w:b/>
          <w:sz w:val="24"/>
          <w:szCs w:val="24"/>
        </w:rPr>
        <w:t>,</w:t>
      </w:r>
      <w:r w:rsidRPr="00F77814">
        <w:rPr>
          <w:rFonts w:ascii="Times New Roman" w:hAnsi="Times New Roman"/>
          <w:b/>
          <w:sz w:val="24"/>
          <w:szCs w:val="24"/>
        </w:rPr>
        <w:t xml:space="preserve"> на 201</w:t>
      </w:r>
      <w:r>
        <w:rPr>
          <w:rFonts w:ascii="Times New Roman" w:hAnsi="Times New Roman"/>
          <w:b/>
          <w:sz w:val="24"/>
          <w:szCs w:val="24"/>
        </w:rPr>
        <w:t>8</w:t>
      </w:r>
      <w:r w:rsidRPr="00F77814">
        <w:rPr>
          <w:rFonts w:ascii="Times New Roman" w:hAnsi="Times New Roman"/>
          <w:b/>
          <w:sz w:val="24"/>
          <w:szCs w:val="24"/>
        </w:rPr>
        <w:t xml:space="preserve"> год</w:t>
      </w:r>
    </w:p>
    <w:p w:rsidR="00041BF3" w:rsidRDefault="00041BF3" w:rsidP="00041BF3">
      <w:pPr>
        <w:pStyle w:val="ac"/>
        <w:ind w:firstLine="709"/>
        <w:rPr>
          <w:b/>
          <w:sz w:val="24"/>
          <w:szCs w:val="24"/>
        </w:rPr>
      </w:pPr>
    </w:p>
    <w:p w:rsidR="00041BF3" w:rsidRPr="006F0D0C" w:rsidRDefault="00041BF3" w:rsidP="00041BF3">
      <w:pPr>
        <w:pStyle w:val="ac"/>
        <w:ind w:firstLine="709"/>
        <w:rPr>
          <w:sz w:val="24"/>
          <w:szCs w:val="24"/>
        </w:rPr>
      </w:pPr>
      <w:r w:rsidRPr="006F0D0C">
        <w:rPr>
          <w:b/>
          <w:sz w:val="24"/>
          <w:szCs w:val="24"/>
        </w:rPr>
        <w:t xml:space="preserve">Доходы от продажи материальных и нематериальных активов </w:t>
      </w:r>
      <w:r w:rsidRPr="006F0D0C">
        <w:rPr>
          <w:sz w:val="24"/>
          <w:szCs w:val="24"/>
        </w:rPr>
        <w:t xml:space="preserve">предусмотрены в законопроекте в сумме </w:t>
      </w:r>
      <w:r>
        <w:rPr>
          <w:sz w:val="24"/>
          <w:szCs w:val="24"/>
        </w:rPr>
        <w:t>7503</w:t>
      </w:r>
      <w:r w:rsidRPr="006F0D0C">
        <w:rPr>
          <w:sz w:val="24"/>
          <w:szCs w:val="24"/>
        </w:rPr>
        <w:t>,</w:t>
      </w:r>
      <w:r>
        <w:rPr>
          <w:sz w:val="24"/>
          <w:szCs w:val="24"/>
        </w:rPr>
        <w:t>7</w:t>
      </w:r>
      <w:r w:rsidRPr="006F0D0C">
        <w:rPr>
          <w:sz w:val="24"/>
          <w:szCs w:val="24"/>
        </w:rPr>
        <w:t xml:space="preserve"> тыс. рублей в 201</w:t>
      </w:r>
      <w:r>
        <w:rPr>
          <w:sz w:val="24"/>
          <w:szCs w:val="24"/>
        </w:rPr>
        <w:t>8</w:t>
      </w:r>
      <w:r w:rsidRPr="006F0D0C">
        <w:rPr>
          <w:sz w:val="24"/>
          <w:szCs w:val="24"/>
        </w:rPr>
        <w:t xml:space="preserve"> году, </w:t>
      </w:r>
      <w:r>
        <w:rPr>
          <w:sz w:val="24"/>
          <w:szCs w:val="24"/>
        </w:rPr>
        <w:t>7488</w:t>
      </w:r>
      <w:r w:rsidRPr="006F0D0C">
        <w:rPr>
          <w:sz w:val="24"/>
          <w:szCs w:val="24"/>
        </w:rPr>
        <w:t>,</w:t>
      </w:r>
      <w:r>
        <w:rPr>
          <w:sz w:val="24"/>
          <w:szCs w:val="24"/>
        </w:rPr>
        <w:t>6</w:t>
      </w:r>
      <w:r w:rsidRPr="006F0D0C">
        <w:rPr>
          <w:sz w:val="24"/>
          <w:szCs w:val="24"/>
        </w:rPr>
        <w:t xml:space="preserve"> тыс. рублей в 201</w:t>
      </w:r>
      <w:r>
        <w:rPr>
          <w:sz w:val="24"/>
          <w:szCs w:val="24"/>
        </w:rPr>
        <w:t>9</w:t>
      </w:r>
      <w:r w:rsidRPr="006F0D0C">
        <w:rPr>
          <w:sz w:val="24"/>
          <w:szCs w:val="24"/>
        </w:rPr>
        <w:t xml:space="preserve"> году и </w:t>
      </w:r>
      <w:r>
        <w:rPr>
          <w:sz w:val="24"/>
          <w:szCs w:val="24"/>
        </w:rPr>
        <w:t>8598</w:t>
      </w:r>
      <w:r w:rsidRPr="006F0D0C">
        <w:rPr>
          <w:sz w:val="24"/>
          <w:szCs w:val="24"/>
        </w:rPr>
        <w:t>,</w:t>
      </w:r>
      <w:r>
        <w:rPr>
          <w:sz w:val="24"/>
          <w:szCs w:val="24"/>
        </w:rPr>
        <w:t>9</w:t>
      </w:r>
      <w:r w:rsidRPr="006F0D0C">
        <w:rPr>
          <w:sz w:val="24"/>
          <w:szCs w:val="24"/>
        </w:rPr>
        <w:t xml:space="preserve"> тыс. рублей в 20</w:t>
      </w:r>
      <w:r>
        <w:rPr>
          <w:sz w:val="24"/>
          <w:szCs w:val="24"/>
        </w:rPr>
        <w:t>20</w:t>
      </w:r>
      <w:r w:rsidRPr="006F0D0C">
        <w:rPr>
          <w:sz w:val="24"/>
          <w:szCs w:val="24"/>
        </w:rPr>
        <w:t xml:space="preserve"> году, в том числе:</w:t>
      </w:r>
    </w:p>
    <w:p w:rsidR="00041BF3" w:rsidRPr="0001727A" w:rsidRDefault="00041BF3" w:rsidP="00041BF3">
      <w:pPr>
        <w:pStyle w:val="ac"/>
        <w:ind w:firstLine="709"/>
        <w:rPr>
          <w:sz w:val="24"/>
          <w:szCs w:val="24"/>
        </w:rPr>
      </w:pPr>
      <w:r w:rsidRPr="008C25AA">
        <w:rPr>
          <w:sz w:val="24"/>
          <w:szCs w:val="24"/>
        </w:rPr>
        <w:t xml:space="preserve">-плановые показатели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w:t>
      </w:r>
      <w:r w:rsidRPr="006F0D0C">
        <w:rPr>
          <w:sz w:val="24"/>
          <w:szCs w:val="24"/>
        </w:rPr>
        <w:t>за 201</w:t>
      </w:r>
      <w:r>
        <w:rPr>
          <w:sz w:val="24"/>
          <w:szCs w:val="24"/>
        </w:rPr>
        <w:t>8</w:t>
      </w:r>
      <w:r w:rsidRPr="006F0D0C">
        <w:rPr>
          <w:sz w:val="24"/>
          <w:szCs w:val="24"/>
        </w:rPr>
        <w:t>-20</w:t>
      </w:r>
      <w:r>
        <w:rPr>
          <w:sz w:val="24"/>
          <w:szCs w:val="24"/>
        </w:rPr>
        <w:t>20</w:t>
      </w:r>
      <w:r w:rsidRPr="006F0D0C">
        <w:rPr>
          <w:sz w:val="24"/>
          <w:szCs w:val="24"/>
        </w:rPr>
        <w:t xml:space="preserve"> годы определены в объеме </w:t>
      </w:r>
      <w:r>
        <w:rPr>
          <w:sz w:val="24"/>
          <w:szCs w:val="24"/>
        </w:rPr>
        <w:t>1</w:t>
      </w:r>
      <w:r w:rsidRPr="006F0D0C">
        <w:rPr>
          <w:sz w:val="24"/>
          <w:szCs w:val="24"/>
        </w:rPr>
        <w:t>0,0 тыс. рублей ежегодно</w:t>
      </w:r>
      <w:r>
        <w:rPr>
          <w:sz w:val="24"/>
          <w:szCs w:val="24"/>
        </w:rPr>
        <w:t>;</w:t>
      </w:r>
    </w:p>
    <w:p w:rsidR="00041BF3" w:rsidRPr="00A73D37" w:rsidRDefault="00041BF3" w:rsidP="00041BF3">
      <w:pPr>
        <w:pStyle w:val="ac"/>
        <w:ind w:firstLine="709"/>
        <w:rPr>
          <w:sz w:val="24"/>
          <w:szCs w:val="24"/>
        </w:rPr>
      </w:pPr>
      <w:r w:rsidRPr="008C25AA">
        <w:rPr>
          <w:sz w:val="24"/>
          <w:szCs w:val="24"/>
        </w:rPr>
        <w:t xml:space="preserve">-плановые показатели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w:t>
      </w:r>
      <w:r>
        <w:rPr>
          <w:sz w:val="24"/>
          <w:szCs w:val="24"/>
        </w:rPr>
        <w:t>материальных запасов</w:t>
      </w:r>
      <w:r w:rsidRPr="008C25AA">
        <w:rPr>
          <w:sz w:val="24"/>
          <w:szCs w:val="24"/>
        </w:rPr>
        <w:t xml:space="preserve"> по указанному имуществу </w:t>
      </w:r>
      <w:r w:rsidRPr="006F0D0C">
        <w:rPr>
          <w:sz w:val="24"/>
          <w:szCs w:val="24"/>
        </w:rPr>
        <w:t xml:space="preserve">определены в объеме </w:t>
      </w:r>
      <w:r>
        <w:rPr>
          <w:sz w:val="24"/>
          <w:szCs w:val="24"/>
        </w:rPr>
        <w:t>56,3</w:t>
      </w:r>
      <w:r w:rsidRPr="006F0D0C">
        <w:rPr>
          <w:sz w:val="24"/>
          <w:szCs w:val="24"/>
        </w:rPr>
        <w:t xml:space="preserve"> тыс. рублей в 201</w:t>
      </w:r>
      <w:r>
        <w:rPr>
          <w:sz w:val="24"/>
          <w:szCs w:val="24"/>
        </w:rPr>
        <w:t>8</w:t>
      </w:r>
      <w:r w:rsidRPr="006F0D0C">
        <w:rPr>
          <w:sz w:val="24"/>
          <w:szCs w:val="24"/>
        </w:rPr>
        <w:t xml:space="preserve"> году, </w:t>
      </w:r>
      <w:r>
        <w:rPr>
          <w:sz w:val="24"/>
          <w:szCs w:val="24"/>
        </w:rPr>
        <w:t>51</w:t>
      </w:r>
      <w:r w:rsidRPr="006F0D0C">
        <w:rPr>
          <w:sz w:val="24"/>
          <w:szCs w:val="24"/>
        </w:rPr>
        <w:t>,</w:t>
      </w:r>
      <w:r>
        <w:rPr>
          <w:sz w:val="24"/>
          <w:szCs w:val="24"/>
        </w:rPr>
        <w:t>4</w:t>
      </w:r>
      <w:r w:rsidRPr="006F0D0C">
        <w:rPr>
          <w:sz w:val="24"/>
          <w:szCs w:val="24"/>
        </w:rPr>
        <w:t xml:space="preserve"> тыс. рублей в 201</w:t>
      </w:r>
      <w:r>
        <w:rPr>
          <w:sz w:val="24"/>
          <w:szCs w:val="24"/>
        </w:rPr>
        <w:t>9</w:t>
      </w:r>
      <w:r w:rsidRPr="006F0D0C">
        <w:rPr>
          <w:sz w:val="24"/>
          <w:szCs w:val="24"/>
        </w:rPr>
        <w:t xml:space="preserve"> году и </w:t>
      </w:r>
      <w:r>
        <w:rPr>
          <w:sz w:val="24"/>
          <w:szCs w:val="24"/>
        </w:rPr>
        <w:t>57</w:t>
      </w:r>
      <w:r w:rsidRPr="006F0D0C">
        <w:rPr>
          <w:sz w:val="24"/>
          <w:szCs w:val="24"/>
        </w:rPr>
        <w:t>,</w:t>
      </w:r>
      <w:r>
        <w:rPr>
          <w:sz w:val="24"/>
          <w:szCs w:val="24"/>
        </w:rPr>
        <w:t>8</w:t>
      </w:r>
      <w:r w:rsidRPr="006F0D0C">
        <w:rPr>
          <w:sz w:val="24"/>
          <w:szCs w:val="24"/>
        </w:rPr>
        <w:t xml:space="preserve"> тыс. рублей в 20</w:t>
      </w:r>
      <w:r>
        <w:rPr>
          <w:sz w:val="24"/>
          <w:szCs w:val="24"/>
        </w:rPr>
        <w:t>20</w:t>
      </w:r>
      <w:r w:rsidRPr="006F0D0C">
        <w:rPr>
          <w:sz w:val="24"/>
          <w:szCs w:val="24"/>
        </w:rPr>
        <w:t xml:space="preserve"> году</w:t>
      </w:r>
      <w:r w:rsidRPr="00A73D37">
        <w:rPr>
          <w:sz w:val="24"/>
          <w:szCs w:val="24"/>
        </w:rPr>
        <w:t>. Учитывая, что списание средств носит заявительный характер и доходы от реализации материальных запасов в большей степени зависят от стоимости приема макулатуры и металлолома, доходы планировались по динамике поступлений;</w:t>
      </w:r>
    </w:p>
    <w:p w:rsidR="00041BF3" w:rsidRPr="007309D9" w:rsidRDefault="00041BF3" w:rsidP="00041BF3">
      <w:pPr>
        <w:pStyle w:val="ac"/>
        <w:ind w:firstLine="709"/>
        <w:rPr>
          <w:b/>
          <w:sz w:val="24"/>
          <w:szCs w:val="24"/>
        </w:rPr>
      </w:pPr>
      <w:r w:rsidRPr="007309D9">
        <w:rPr>
          <w:sz w:val="24"/>
          <w:szCs w:val="24"/>
        </w:rPr>
        <w:t>-доходы от реализации недвижимого имущества бюджетных, автономных учреждений, находящегося в собственности области, запланированы в объ</w:t>
      </w:r>
      <w:r w:rsidR="0001727A">
        <w:rPr>
          <w:sz w:val="24"/>
          <w:szCs w:val="24"/>
        </w:rPr>
        <w:t>еме 100,0 тыс. рублей ежегодно;</w:t>
      </w:r>
    </w:p>
    <w:p w:rsidR="00041BF3" w:rsidRDefault="00041BF3" w:rsidP="00041BF3">
      <w:pPr>
        <w:pStyle w:val="ac"/>
        <w:ind w:firstLine="709"/>
      </w:pPr>
      <w:r w:rsidRPr="007309D9">
        <w:rPr>
          <w:sz w:val="24"/>
          <w:szCs w:val="24"/>
        </w:rPr>
        <w:t>-доходы от продажи земельных участков, находящихся в собственности области, запланированы в объеме 7337,4 тыс. рублей в 2018 году, 7327,2 тыс. рублей в 2019 году и 8431,1 тыс. рублей в 2020 году. Продажа земельных участк</w:t>
      </w:r>
      <w:r w:rsidR="0001727A">
        <w:rPr>
          <w:sz w:val="24"/>
          <w:szCs w:val="24"/>
        </w:rPr>
        <w:t>ов носит заявительный характер.</w:t>
      </w:r>
    </w:p>
    <w:p w:rsidR="00041BF3" w:rsidRPr="00781BD0" w:rsidRDefault="00041BF3" w:rsidP="00781BD0">
      <w:pPr>
        <w:spacing w:after="0" w:line="240" w:lineRule="auto"/>
        <w:ind w:firstLine="680"/>
        <w:jc w:val="both"/>
        <w:rPr>
          <w:rFonts w:ascii="Times New Roman" w:hAnsi="Times New Roman"/>
          <w:sz w:val="24"/>
          <w:szCs w:val="24"/>
        </w:rPr>
      </w:pP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На государственную пошлину, платежи при пользовании природными ресурсами, доходы от оказания платных услуг (работ) и компенсации затрат государства, штрафы, </w:t>
      </w:r>
      <w:r w:rsidRPr="00781BD0">
        <w:rPr>
          <w:rFonts w:ascii="Times New Roman" w:hAnsi="Times New Roman"/>
          <w:sz w:val="24"/>
          <w:szCs w:val="24"/>
        </w:rPr>
        <w:lastRenderedPageBreak/>
        <w:t>санкции, возмещение ущерба в структуре налоговых и неналоговых доходов областного бюджета приходится от 0,3 процента до 1,7 процента.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Поступления по указанным доходам областного бюджета на 2018 год и плановый период 2019 и 2020 годов спрогнозированы по данным администраторов доходов областного бюджета.</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Объем поступлений на 2018 год государственной пошлины составляет </w:t>
      </w:r>
      <w:r w:rsidRPr="00781BD0">
        <w:rPr>
          <w:rFonts w:ascii="Times New Roman" w:hAnsi="Times New Roman"/>
          <w:sz w:val="24"/>
          <w:szCs w:val="24"/>
        </w:rPr>
        <w:br/>
        <w:t>107481,4 тыс. рублей, платежей при пользовании природными ресурсами – 174782,2 тыс. рублей, доходов от оказания платных услуг (работ) и компенсации затрат государства – 680880,0 тыс. рублей, штрафов, санкций, возмещения</w:t>
      </w:r>
      <w:r w:rsidR="0001727A">
        <w:rPr>
          <w:rFonts w:ascii="Times New Roman" w:hAnsi="Times New Roman"/>
          <w:sz w:val="24"/>
          <w:szCs w:val="24"/>
        </w:rPr>
        <w:t xml:space="preserve"> ущерба – 143216,7 тыс. рублей.</w:t>
      </w:r>
    </w:p>
    <w:p w:rsidR="00781BD0" w:rsidRPr="00781BD0" w:rsidRDefault="00781BD0" w:rsidP="00781BD0">
      <w:pPr>
        <w:spacing w:after="0" w:line="240" w:lineRule="auto"/>
        <w:ind w:right="-83" w:firstLine="709"/>
        <w:jc w:val="both"/>
        <w:rPr>
          <w:rFonts w:ascii="Times New Roman" w:hAnsi="Times New Roman"/>
          <w:sz w:val="24"/>
          <w:szCs w:val="24"/>
        </w:rPr>
      </w:pPr>
      <w:r w:rsidRPr="00781BD0">
        <w:rPr>
          <w:rFonts w:ascii="Times New Roman" w:hAnsi="Times New Roman"/>
          <w:sz w:val="24"/>
          <w:szCs w:val="24"/>
        </w:rPr>
        <w:t>Контрольно-счетная палата отмечает, что объем поступлений в областной на 2018 год  государственной пошлины прогнозируется меньше ожидаемого поступления в 2017 году, а также ниже плановых назначений 2017 года на 42965,5 тыс. рублей, или 28,6 процента. Согласно пояснениям, представленным в Приложении № 1 к Пояснительной записке</w:t>
      </w:r>
      <w:r>
        <w:rPr>
          <w:rFonts w:ascii="Times New Roman" w:hAnsi="Times New Roman"/>
          <w:sz w:val="24"/>
          <w:szCs w:val="24"/>
        </w:rPr>
        <w:t xml:space="preserve">, </w:t>
      </w:r>
      <w:r w:rsidRPr="00781BD0">
        <w:rPr>
          <w:rFonts w:ascii="Times New Roman" w:hAnsi="Times New Roman"/>
          <w:sz w:val="24"/>
          <w:szCs w:val="24"/>
        </w:rPr>
        <w:t xml:space="preserve">уменьшение объема поступлений государственной пошлины на 2018 год связано с применением скидки - 30 процентов к размеру госпошлины при обращении через сайт государственных услуг в соответствии с  Федеральным Законом от 30.11.2016 № 402-ФЗ </w:t>
      </w:r>
      <w:r w:rsidRPr="00781BD0">
        <w:rPr>
          <w:rFonts w:ascii="Times New Roman" w:hAnsi="Times New Roman"/>
          <w:sz w:val="24"/>
          <w:szCs w:val="24"/>
        </w:rPr>
        <w:br/>
        <w:t>«О внесении изменения в статью 333.35 части второй Налогового кодекса Российской Федерации». Данный Закон вступил в силу с 1 января 2017 года. По состоянию на 01.10.2017 исполнение по государственной пошлине составляет 107356,4 тыс. рублей (плановые назначения на 2017 год 150446,9 тыс. рублей), что на 7,0 процентов выше поступлений за  аналогичный период прошлого года (исполнение по состоянию на 01.10.2016 - 100329,0 тыс. рублей), то есть применение указанной скидки в 2017 году значительно не повлияло на объем поступлений государственной пошлины.</w:t>
      </w:r>
    </w:p>
    <w:p w:rsidR="00781BD0" w:rsidRDefault="00781BD0" w:rsidP="00781BD0">
      <w:pPr>
        <w:spacing w:after="0" w:line="240" w:lineRule="auto"/>
        <w:ind w:right="-83" w:firstLine="709"/>
        <w:jc w:val="both"/>
        <w:rPr>
          <w:rFonts w:ascii="Times New Roman" w:hAnsi="Times New Roman"/>
          <w:sz w:val="24"/>
          <w:szCs w:val="24"/>
        </w:rPr>
      </w:pPr>
      <w:r w:rsidRPr="00781BD0">
        <w:rPr>
          <w:rFonts w:ascii="Times New Roman" w:hAnsi="Times New Roman"/>
          <w:sz w:val="24"/>
          <w:szCs w:val="24"/>
        </w:rPr>
        <w:t xml:space="preserve">Объем поступлений штрафов, санкций, возмещения ущерба на 2018 год запланирован ниже плановых назначений 2017 года на 93954,1 тыс. рублей, или 39,6 процента, ожидаемого поступления 2017 года - на 94013,2 тыс. рублей, или 39,6 процента. При этом исполнение по штрафам, санкциям, возмещению ущерба по состоянию на 01.10.2017 составляет </w:t>
      </w:r>
      <w:r w:rsidRPr="00781BD0">
        <w:rPr>
          <w:rFonts w:ascii="Times New Roman" w:hAnsi="Times New Roman"/>
          <w:sz w:val="24"/>
          <w:szCs w:val="24"/>
        </w:rPr>
        <w:br/>
        <w:t>176716,0 тыс. рублей (прогноз на 20</w:t>
      </w:r>
      <w:r w:rsidR="0001727A">
        <w:rPr>
          <w:rFonts w:ascii="Times New Roman" w:hAnsi="Times New Roman"/>
          <w:sz w:val="24"/>
          <w:szCs w:val="24"/>
        </w:rPr>
        <w:t>18 год – 143216,7 тыс. рублей).</w:t>
      </w:r>
    </w:p>
    <w:p w:rsidR="00041BF3" w:rsidRDefault="00041BF3" w:rsidP="00781BD0">
      <w:pPr>
        <w:spacing w:after="0" w:line="240" w:lineRule="auto"/>
        <w:ind w:right="-83" w:firstLine="709"/>
        <w:jc w:val="both"/>
        <w:rPr>
          <w:rFonts w:ascii="Times New Roman" w:hAnsi="Times New Roman"/>
          <w:sz w:val="24"/>
          <w:szCs w:val="24"/>
        </w:rPr>
      </w:pP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Кроме того, контрольно-счетная палата Амурской области отмечает, что по прогнозируемым показателям налоговых и неналоговых доходов областного бюджета на 2018 год и плановый период 2019 и 2020 годов, предусмотренным законопроектом</w:t>
      </w:r>
      <w:r>
        <w:rPr>
          <w:rFonts w:ascii="Times New Roman" w:hAnsi="Times New Roman"/>
          <w:sz w:val="24"/>
          <w:szCs w:val="24"/>
        </w:rPr>
        <w:t>,</w:t>
      </w:r>
      <w:r w:rsidRPr="00781BD0">
        <w:rPr>
          <w:rFonts w:ascii="Times New Roman" w:hAnsi="Times New Roman"/>
          <w:sz w:val="24"/>
          <w:szCs w:val="24"/>
        </w:rPr>
        <w:t xml:space="preserve"> и показателями по доходам областного бюджета, предоставленными для формирования областного бюджета администраторами доходов областного бюджета  (УФНС России по Амурской области)</w:t>
      </w:r>
      <w:r>
        <w:rPr>
          <w:rFonts w:ascii="Times New Roman" w:hAnsi="Times New Roman"/>
          <w:sz w:val="24"/>
          <w:szCs w:val="24"/>
        </w:rPr>
        <w:t>,</w:t>
      </w:r>
      <w:r w:rsidRPr="00781BD0">
        <w:rPr>
          <w:rFonts w:ascii="Times New Roman" w:hAnsi="Times New Roman"/>
          <w:sz w:val="24"/>
          <w:szCs w:val="24"/>
        </w:rPr>
        <w:t xml:space="preserve"> имеются расхождения на общую сумму в 2018 году –  892643,1 тыс. рублей, в 2019 году - 1137326,4 тыс. рублей, в 2020 году – 1606271,0 тыс. рублей (на указанные суммы законопроектом предусмотрен объем доходов  больше, чем по данным администраторов доходов областного бюджета). В этой связи возникают риски неисполнения прогнозных показателей по налого</w:t>
      </w:r>
      <w:r w:rsidR="0001727A">
        <w:rPr>
          <w:rFonts w:ascii="Times New Roman" w:hAnsi="Times New Roman"/>
          <w:sz w:val="24"/>
          <w:szCs w:val="24"/>
        </w:rPr>
        <w:t>вым доходам областного бюджета.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Расхождения в прогнозируемых показателях имеются по следующим доходам областного бюджета:</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налог на прибыль организаций</w:t>
      </w:r>
      <w:r>
        <w:rPr>
          <w:rFonts w:ascii="Times New Roman" w:hAnsi="Times New Roman"/>
          <w:sz w:val="24"/>
          <w:szCs w:val="24"/>
        </w:rPr>
        <w:t>:</w:t>
      </w:r>
      <w:r w:rsidRPr="00781BD0">
        <w:rPr>
          <w:rFonts w:ascii="Times New Roman" w:hAnsi="Times New Roman"/>
          <w:sz w:val="24"/>
          <w:szCs w:val="24"/>
        </w:rPr>
        <w:t xml:space="preserve"> 2018 год – на сумму 413356,0 тыс. рублей, </w:t>
      </w:r>
      <w:r w:rsidRPr="00781BD0">
        <w:rPr>
          <w:rFonts w:ascii="Times New Roman" w:hAnsi="Times New Roman"/>
          <w:sz w:val="24"/>
          <w:szCs w:val="24"/>
        </w:rPr>
        <w:br/>
        <w:t>2019 год – на сумму 385499,0 тыс. рублей, 2020 год – на сумму 858114,0 тыс.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xml:space="preserve"> - налог на доходы физических лиц</w:t>
      </w:r>
      <w:r>
        <w:rPr>
          <w:rFonts w:ascii="Times New Roman" w:hAnsi="Times New Roman"/>
          <w:sz w:val="24"/>
          <w:szCs w:val="24"/>
        </w:rPr>
        <w:t>:</w:t>
      </w:r>
      <w:r w:rsidRPr="00781BD0">
        <w:rPr>
          <w:rFonts w:ascii="Times New Roman" w:hAnsi="Times New Roman"/>
          <w:sz w:val="24"/>
          <w:szCs w:val="24"/>
        </w:rPr>
        <w:t xml:space="preserve"> 2018 год – на сумму 165767,1 тыс. рублей, </w:t>
      </w:r>
      <w:r w:rsidRPr="00781BD0">
        <w:rPr>
          <w:rFonts w:ascii="Times New Roman" w:hAnsi="Times New Roman"/>
          <w:sz w:val="24"/>
          <w:szCs w:val="24"/>
        </w:rPr>
        <w:br/>
        <w:t>2019 год – на сумму 14425,4 тыс. рублей, 2020 год – на сумму 6177,0 тыс. рублей;</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 налог на имущество организаций</w:t>
      </w:r>
      <w:r>
        <w:rPr>
          <w:rFonts w:ascii="Times New Roman" w:hAnsi="Times New Roman"/>
          <w:sz w:val="24"/>
          <w:szCs w:val="24"/>
        </w:rPr>
        <w:t>:</w:t>
      </w:r>
      <w:r w:rsidRPr="00781BD0">
        <w:rPr>
          <w:rFonts w:ascii="Times New Roman" w:hAnsi="Times New Roman"/>
          <w:sz w:val="24"/>
          <w:szCs w:val="24"/>
        </w:rPr>
        <w:t xml:space="preserve"> 2018 год – на сумму 313520,0 тыс. рублей, </w:t>
      </w:r>
      <w:r w:rsidRPr="00781BD0">
        <w:rPr>
          <w:rFonts w:ascii="Times New Roman" w:hAnsi="Times New Roman"/>
          <w:sz w:val="24"/>
          <w:szCs w:val="24"/>
        </w:rPr>
        <w:br/>
        <w:t>2019 год - на сумму 737402,0 тыс. рублей, 2020 год –</w:t>
      </w:r>
      <w:r>
        <w:rPr>
          <w:rFonts w:ascii="Times New Roman" w:hAnsi="Times New Roman"/>
          <w:sz w:val="24"/>
          <w:szCs w:val="24"/>
        </w:rPr>
        <w:t xml:space="preserve"> на сумму 741980,0 тыс. рублей.</w:t>
      </w:r>
    </w:p>
    <w:p w:rsidR="00781BD0" w:rsidRPr="00781BD0" w:rsidRDefault="00781BD0" w:rsidP="00781BD0">
      <w:pPr>
        <w:spacing w:after="0" w:line="240" w:lineRule="auto"/>
        <w:ind w:right="-83" w:firstLine="709"/>
        <w:jc w:val="both"/>
        <w:rPr>
          <w:rFonts w:ascii="Times New Roman" w:hAnsi="Times New Roman"/>
          <w:b/>
          <w:sz w:val="24"/>
          <w:szCs w:val="24"/>
        </w:rPr>
      </w:pPr>
    </w:p>
    <w:p w:rsidR="00781BD0" w:rsidRPr="00781BD0" w:rsidRDefault="00781BD0" w:rsidP="00781BD0">
      <w:pPr>
        <w:spacing w:after="0" w:line="240" w:lineRule="auto"/>
        <w:ind w:right="-83" w:firstLine="709"/>
        <w:jc w:val="both"/>
        <w:rPr>
          <w:rFonts w:ascii="Times New Roman" w:hAnsi="Times New Roman"/>
          <w:b/>
          <w:sz w:val="24"/>
          <w:szCs w:val="24"/>
        </w:rPr>
      </w:pPr>
      <w:r w:rsidRPr="00781BD0">
        <w:rPr>
          <w:rFonts w:ascii="Times New Roman" w:hAnsi="Times New Roman"/>
          <w:b/>
          <w:sz w:val="24"/>
          <w:szCs w:val="24"/>
        </w:rPr>
        <w:t xml:space="preserve">На основании проведенного анализа формирования доходной части областного бюджета на 2018 год и плановый период 2019 и 2020 годов контрольно-счетная палата Амурской области считает возможным сделать вывод о напряженности плановых показателей по налоговым и неналоговым доходам областного бюджета, а также о </w:t>
      </w:r>
      <w:r w:rsidR="0036081A">
        <w:rPr>
          <w:rFonts w:ascii="Times New Roman" w:hAnsi="Times New Roman"/>
          <w:b/>
          <w:sz w:val="24"/>
          <w:szCs w:val="24"/>
        </w:rPr>
        <w:t>наличии рисков</w:t>
      </w:r>
      <w:r w:rsidRPr="00781BD0">
        <w:rPr>
          <w:rFonts w:ascii="Times New Roman" w:hAnsi="Times New Roman"/>
          <w:b/>
          <w:sz w:val="24"/>
          <w:szCs w:val="24"/>
        </w:rPr>
        <w:t xml:space="preserve"> неисполнения плановых назначений по бюджетообразующим налогам </w:t>
      </w:r>
      <w:r w:rsidRPr="00781BD0">
        <w:rPr>
          <w:rFonts w:ascii="Times New Roman" w:hAnsi="Times New Roman"/>
          <w:b/>
          <w:sz w:val="24"/>
          <w:szCs w:val="24"/>
        </w:rPr>
        <w:lastRenderedPageBreak/>
        <w:t>(налог на прибыль организаций, налог на доходы физических лиц, налог на имущество организаций), что потребует повышения собираемости налогов и сборов и улучшения качеств</w:t>
      </w:r>
      <w:r w:rsidR="0001727A">
        <w:rPr>
          <w:rFonts w:ascii="Times New Roman" w:hAnsi="Times New Roman"/>
          <w:b/>
          <w:sz w:val="24"/>
          <w:szCs w:val="24"/>
        </w:rPr>
        <w:t>а налогового администрирования.</w:t>
      </w:r>
    </w:p>
    <w:p w:rsidR="00781BD0" w:rsidRPr="00781BD0" w:rsidRDefault="00781BD0" w:rsidP="00781BD0">
      <w:pPr>
        <w:spacing w:after="0" w:line="240" w:lineRule="auto"/>
        <w:ind w:right="-83" w:firstLine="709"/>
        <w:jc w:val="both"/>
        <w:rPr>
          <w:rFonts w:ascii="Times New Roman" w:hAnsi="Times New Roman"/>
          <w:b/>
          <w:sz w:val="24"/>
          <w:szCs w:val="24"/>
        </w:rPr>
      </w:pPr>
      <w:r w:rsidRPr="00781BD0">
        <w:rPr>
          <w:rFonts w:ascii="Times New Roman" w:hAnsi="Times New Roman"/>
          <w:b/>
          <w:sz w:val="24"/>
          <w:szCs w:val="24"/>
        </w:rPr>
        <w:t>Вместе с тем следует отметить наличие резервов увеличения отдельных налоговых</w:t>
      </w:r>
      <w:r w:rsidR="00066FEC">
        <w:rPr>
          <w:rFonts w:ascii="Times New Roman" w:hAnsi="Times New Roman"/>
          <w:b/>
          <w:sz w:val="24"/>
          <w:szCs w:val="24"/>
        </w:rPr>
        <w:t xml:space="preserve"> (государственной пошл</w:t>
      </w:r>
      <w:r w:rsidRPr="00781BD0">
        <w:rPr>
          <w:rFonts w:ascii="Times New Roman" w:hAnsi="Times New Roman"/>
          <w:b/>
          <w:sz w:val="24"/>
          <w:szCs w:val="24"/>
        </w:rPr>
        <w:t>и</w:t>
      </w:r>
      <w:r w:rsidR="00066FEC">
        <w:rPr>
          <w:rFonts w:ascii="Times New Roman" w:hAnsi="Times New Roman"/>
          <w:b/>
          <w:sz w:val="24"/>
          <w:szCs w:val="24"/>
        </w:rPr>
        <w:t>ны) и</w:t>
      </w:r>
      <w:r w:rsidRPr="00781BD0">
        <w:rPr>
          <w:rFonts w:ascii="Times New Roman" w:hAnsi="Times New Roman"/>
          <w:b/>
          <w:sz w:val="24"/>
          <w:szCs w:val="24"/>
        </w:rPr>
        <w:t xml:space="preserve"> неналоговых </w:t>
      </w:r>
      <w:r w:rsidR="00066FEC">
        <w:rPr>
          <w:rFonts w:ascii="Times New Roman" w:hAnsi="Times New Roman"/>
          <w:b/>
          <w:sz w:val="24"/>
          <w:szCs w:val="24"/>
        </w:rPr>
        <w:t xml:space="preserve">(штрафы, санкции, возмещение ущерба) </w:t>
      </w:r>
      <w:r w:rsidRPr="00781BD0">
        <w:rPr>
          <w:rFonts w:ascii="Times New Roman" w:hAnsi="Times New Roman"/>
          <w:b/>
          <w:sz w:val="24"/>
          <w:szCs w:val="24"/>
        </w:rPr>
        <w:t>доходов областного бюджета в 2018 году.</w:t>
      </w:r>
    </w:p>
    <w:p w:rsidR="00781BD0" w:rsidRPr="00781BD0" w:rsidRDefault="00781BD0" w:rsidP="00781BD0">
      <w:pPr>
        <w:spacing w:after="0" w:line="240" w:lineRule="auto"/>
        <w:ind w:right="-83" w:firstLine="709"/>
        <w:jc w:val="both"/>
        <w:rPr>
          <w:rFonts w:ascii="Times New Roman" w:hAnsi="Times New Roman"/>
          <w:b/>
          <w:sz w:val="24"/>
          <w:szCs w:val="24"/>
        </w:rPr>
      </w:pPr>
    </w:p>
    <w:p w:rsidR="00781BD0" w:rsidRPr="00781BD0" w:rsidRDefault="00781BD0" w:rsidP="00781BD0">
      <w:pPr>
        <w:numPr>
          <w:ilvl w:val="0"/>
          <w:numId w:val="2"/>
        </w:numPr>
        <w:spacing w:after="0" w:line="240" w:lineRule="auto"/>
        <w:contextualSpacing/>
        <w:jc w:val="center"/>
        <w:rPr>
          <w:rFonts w:ascii="Times New Roman" w:eastAsia="Calibri" w:hAnsi="Times New Roman"/>
          <w:b/>
          <w:sz w:val="24"/>
          <w:szCs w:val="24"/>
          <w:lang w:eastAsia="en-US"/>
        </w:rPr>
      </w:pPr>
      <w:r w:rsidRPr="00781BD0">
        <w:rPr>
          <w:rFonts w:ascii="Times New Roman" w:eastAsia="Calibri" w:hAnsi="Times New Roman"/>
          <w:b/>
          <w:sz w:val="24"/>
          <w:szCs w:val="24"/>
          <w:lang w:eastAsia="en-US"/>
        </w:rPr>
        <w:t>Дефицит бюджета. Источники финансирования дефицита</w:t>
      </w:r>
    </w:p>
    <w:p w:rsidR="00781BD0" w:rsidRPr="00781BD0" w:rsidRDefault="00781BD0" w:rsidP="00781BD0">
      <w:pPr>
        <w:autoSpaceDE w:val="0"/>
        <w:autoSpaceDN w:val="0"/>
        <w:adjustRightInd w:val="0"/>
        <w:spacing w:after="0" w:line="240" w:lineRule="auto"/>
        <w:ind w:firstLine="705"/>
        <w:jc w:val="both"/>
        <w:outlineLvl w:val="3"/>
        <w:rPr>
          <w:rFonts w:ascii="Times New Roman" w:hAnsi="Times New Roman"/>
          <w:sz w:val="24"/>
          <w:szCs w:val="24"/>
        </w:rPr>
      </w:pPr>
      <w:r w:rsidRPr="00781BD0">
        <w:rPr>
          <w:rFonts w:ascii="Times New Roman" w:hAnsi="Times New Roman"/>
          <w:sz w:val="24"/>
          <w:szCs w:val="24"/>
        </w:rPr>
        <w:t>На 2017 год первоначально Законом Амурской области «Об областном бюджете на 2017 год и плановый период 2018 и 2019 годов» утвержден профицит  областного бюджета  в объеме 3433004,9 тыс. рублей, уточненный показатель профицита областного бюджета на 2017 год (с учетом внесенных изменений в закон об областном бюджете по состоянию на 01.11.2016) составляет 1891069,8</w:t>
      </w:r>
      <w:r w:rsidRPr="00781BD0">
        <w:rPr>
          <w:sz w:val="24"/>
          <w:szCs w:val="24"/>
        </w:rPr>
        <w:t xml:space="preserve"> </w:t>
      </w:r>
      <w:r w:rsidR="0001727A">
        <w:rPr>
          <w:rFonts w:ascii="Times New Roman" w:hAnsi="Times New Roman"/>
          <w:sz w:val="24"/>
          <w:szCs w:val="24"/>
        </w:rPr>
        <w:t>тыс. рублей.</w:t>
      </w:r>
    </w:p>
    <w:p w:rsidR="00781BD0" w:rsidRPr="00781BD0" w:rsidRDefault="00781BD0" w:rsidP="00781BD0">
      <w:pPr>
        <w:autoSpaceDE w:val="0"/>
        <w:autoSpaceDN w:val="0"/>
        <w:adjustRightInd w:val="0"/>
        <w:spacing w:after="0" w:line="240" w:lineRule="auto"/>
        <w:ind w:firstLine="705"/>
        <w:jc w:val="both"/>
        <w:rPr>
          <w:rFonts w:ascii="Times New Roman" w:hAnsi="Times New Roman"/>
          <w:sz w:val="24"/>
          <w:szCs w:val="24"/>
        </w:rPr>
      </w:pPr>
      <w:r w:rsidRPr="00781BD0">
        <w:rPr>
          <w:rFonts w:ascii="Times New Roman" w:hAnsi="Times New Roman"/>
          <w:sz w:val="24"/>
          <w:szCs w:val="24"/>
        </w:rPr>
        <w:t>Законопроектом предусмотрено формирование областного бюджета на 2018 год и плановый период 2019 и 2020 годов с профицитом в размере на 2018 год – 4951888,7 тыс. рублей, на 2019 год – 1932353,8 тыс. рублей, на 20</w:t>
      </w:r>
      <w:r w:rsidR="0001727A">
        <w:rPr>
          <w:rFonts w:ascii="Times New Roman" w:hAnsi="Times New Roman"/>
          <w:sz w:val="24"/>
          <w:szCs w:val="24"/>
        </w:rPr>
        <w:t>20 год – 3422723,6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 xml:space="preserve">В 2018 году планируется погашение кредитов в объеме 9742375,7 тыс. рублей, в том числе на погашение кредитов от кредитных организаций предусмотрено </w:t>
      </w:r>
      <w:r w:rsidRPr="00781BD0">
        <w:rPr>
          <w:rFonts w:ascii="Times New Roman" w:hAnsi="Times New Roman"/>
          <w:sz w:val="24"/>
          <w:szCs w:val="24"/>
        </w:rPr>
        <w:br/>
        <w:t>2931786,2 тыс. рублей, на погашение бюджетных кредитов – 681058</w:t>
      </w:r>
      <w:r w:rsidR="0001727A">
        <w:rPr>
          <w:rFonts w:ascii="Times New Roman" w:hAnsi="Times New Roman"/>
          <w:sz w:val="24"/>
          <w:szCs w:val="24"/>
        </w:rPr>
        <w:t>9,5 тыс. рублей.</w:t>
      </w:r>
    </w:p>
    <w:p w:rsidR="00781BD0" w:rsidRPr="00781BD0" w:rsidRDefault="00781BD0" w:rsidP="00781BD0">
      <w:pPr>
        <w:spacing w:after="0" w:line="240" w:lineRule="auto"/>
        <w:ind w:firstLine="680"/>
        <w:jc w:val="both"/>
        <w:rPr>
          <w:rFonts w:ascii="Times New Roman" w:hAnsi="Times New Roman"/>
          <w:sz w:val="24"/>
          <w:szCs w:val="24"/>
        </w:rPr>
      </w:pPr>
      <w:r w:rsidRPr="00781BD0">
        <w:rPr>
          <w:rFonts w:ascii="Times New Roman" w:hAnsi="Times New Roman"/>
          <w:sz w:val="24"/>
          <w:szCs w:val="24"/>
        </w:rPr>
        <w:t>В 201</w:t>
      </w:r>
      <w:r w:rsidR="00E220E3">
        <w:rPr>
          <w:rFonts w:ascii="Times New Roman" w:hAnsi="Times New Roman"/>
          <w:sz w:val="24"/>
          <w:szCs w:val="24"/>
        </w:rPr>
        <w:t>9, 2020</w:t>
      </w:r>
      <w:r w:rsidRPr="00781BD0">
        <w:rPr>
          <w:rFonts w:ascii="Times New Roman" w:hAnsi="Times New Roman"/>
          <w:sz w:val="24"/>
          <w:szCs w:val="24"/>
        </w:rPr>
        <w:t xml:space="preserve"> годах на погашение кредитов кредитных организаций планируется направить 5592160,1 тыс. рублей, 4790487,3 тыс. рублей соответственно, на погашение бюджетных кредитов 680</w:t>
      </w:r>
      <w:r w:rsidR="0001727A">
        <w:rPr>
          <w:rFonts w:ascii="Times New Roman" w:hAnsi="Times New Roman"/>
          <w:sz w:val="24"/>
          <w:szCs w:val="24"/>
        </w:rPr>
        <w:t>8344,0 тыс. рублей в 2019 году.</w:t>
      </w:r>
    </w:p>
    <w:p w:rsidR="00781BD0" w:rsidRPr="00781BD0" w:rsidRDefault="00781BD0" w:rsidP="00781BD0">
      <w:pPr>
        <w:spacing w:after="0" w:line="240" w:lineRule="auto"/>
        <w:ind w:firstLine="709"/>
        <w:jc w:val="both"/>
        <w:rPr>
          <w:rFonts w:ascii="Times New Roman" w:hAnsi="Times New Roman"/>
          <w:sz w:val="24"/>
          <w:szCs w:val="24"/>
        </w:rPr>
      </w:pPr>
      <w:r w:rsidRPr="00781BD0">
        <w:rPr>
          <w:rFonts w:ascii="Times New Roman" w:hAnsi="Times New Roman"/>
          <w:sz w:val="24"/>
          <w:szCs w:val="24"/>
        </w:rPr>
        <w:t>Предусматривается, что в 2018 году объем привлечения кредитов кредитных организаций составит 4790487,0 тыс. рублей, на 2019 год – 10468150,3 тыс. рублей, на</w:t>
      </w:r>
      <w:r w:rsidRPr="00781BD0">
        <w:rPr>
          <w:rFonts w:ascii="Times New Roman" w:hAnsi="Times New Roman"/>
          <w:sz w:val="24"/>
          <w:szCs w:val="24"/>
        </w:rPr>
        <w:br/>
        <w:t>20</w:t>
      </w:r>
      <w:r w:rsidR="0001727A">
        <w:rPr>
          <w:rFonts w:ascii="Times New Roman" w:hAnsi="Times New Roman"/>
          <w:sz w:val="24"/>
          <w:szCs w:val="24"/>
        </w:rPr>
        <w:t>20 год – 1367763,7 тыс. рублей.</w:t>
      </w:r>
    </w:p>
    <w:p w:rsidR="00781BD0" w:rsidRPr="00781BD0" w:rsidRDefault="00781BD0" w:rsidP="00781BD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81BD0">
        <w:rPr>
          <w:rFonts w:ascii="Times New Roman" w:hAnsi="Times New Roman"/>
          <w:sz w:val="24"/>
          <w:szCs w:val="24"/>
        </w:rPr>
        <w:t>Кроме того, в 2018 году п</w:t>
      </w:r>
      <w:r w:rsidRPr="00781BD0">
        <w:rPr>
          <w:rFonts w:ascii="Times New Roman" w:eastAsiaTheme="minorHAnsi" w:hAnsi="Times New Roman"/>
          <w:sz w:val="24"/>
          <w:szCs w:val="24"/>
          <w:lang w:eastAsia="en-US"/>
        </w:rPr>
        <w:t>олучение бюджетных кредитов за счет средств федерального бюджета на пополнение остатков средств на счетах бюджетов субъектов Российской Федерации планируется в объеме 9930401,5 тыс. рублей. Погашение указанных кредитов на 2018 год предусмотрено в объеме их получения.</w:t>
      </w:r>
    </w:p>
    <w:p w:rsidR="00781BD0" w:rsidRPr="00781BD0" w:rsidRDefault="00781BD0" w:rsidP="00781BD0">
      <w:pPr>
        <w:spacing w:after="0" w:line="240" w:lineRule="auto"/>
        <w:ind w:firstLine="708"/>
        <w:jc w:val="both"/>
        <w:rPr>
          <w:rFonts w:ascii="Times New Roman" w:hAnsi="Times New Roman"/>
          <w:bCs/>
          <w:sz w:val="24"/>
          <w:szCs w:val="24"/>
        </w:rPr>
      </w:pPr>
      <w:r w:rsidRPr="00781BD0">
        <w:rPr>
          <w:rFonts w:ascii="Times New Roman" w:hAnsi="Times New Roman"/>
          <w:bCs/>
          <w:sz w:val="24"/>
          <w:szCs w:val="24"/>
        </w:rPr>
        <w:t>Предоставление бюджетных кредитов бюджетам муниципальных образований области в 2018-2020 годах из областного бюджета не планируется. В связи с планируемой реструктуризацией задолженности городских округов и муниципальных районов по бюджетным кредитам, предоставленным из областного бюджета, возврат бюджетных кредитов на</w:t>
      </w:r>
      <w:r w:rsidR="0001727A">
        <w:rPr>
          <w:rFonts w:ascii="Times New Roman" w:hAnsi="Times New Roman"/>
          <w:bCs/>
          <w:sz w:val="24"/>
          <w:szCs w:val="24"/>
        </w:rPr>
        <w:t xml:space="preserve"> 2018-2020 годы не планируется.</w:t>
      </w:r>
    </w:p>
    <w:p w:rsidR="00781BD0" w:rsidRPr="00781BD0" w:rsidRDefault="00781BD0" w:rsidP="00781BD0">
      <w:pPr>
        <w:spacing w:after="0" w:line="240" w:lineRule="auto"/>
        <w:ind w:firstLine="708"/>
        <w:jc w:val="both"/>
        <w:rPr>
          <w:rFonts w:ascii="Times New Roman" w:hAnsi="Times New Roman"/>
          <w:bCs/>
          <w:sz w:val="24"/>
          <w:szCs w:val="24"/>
        </w:rPr>
      </w:pPr>
      <w:r w:rsidRPr="00781BD0">
        <w:rPr>
          <w:rFonts w:ascii="Times New Roman" w:hAnsi="Times New Roman"/>
          <w:bCs/>
          <w:sz w:val="24"/>
          <w:szCs w:val="24"/>
        </w:rPr>
        <w:t>Предоставление государственных гарантий Амурской области в 2018-2020 годах не планируется. Бюджетные ассигнования на исполнение обязательств по предоставленным государственным гарантиям Амурской области в планируемом периоде не предусматриваются в связи с окончанием срока действия ранее предоставленных  государственных гаранти</w:t>
      </w:r>
      <w:r w:rsidR="0001727A">
        <w:rPr>
          <w:rFonts w:ascii="Times New Roman" w:hAnsi="Times New Roman"/>
          <w:bCs/>
          <w:sz w:val="24"/>
          <w:szCs w:val="24"/>
        </w:rPr>
        <w:t>й Амурской области в 2017 году.</w:t>
      </w:r>
    </w:p>
    <w:p w:rsidR="00781BD0" w:rsidRPr="00781BD0" w:rsidRDefault="00781BD0" w:rsidP="00781BD0">
      <w:pPr>
        <w:spacing w:after="0" w:line="240" w:lineRule="auto"/>
        <w:ind w:firstLine="708"/>
        <w:jc w:val="both"/>
        <w:rPr>
          <w:rFonts w:ascii="Times New Roman" w:hAnsi="Times New Roman"/>
          <w:sz w:val="24"/>
          <w:szCs w:val="24"/>
        </w:rPr>
      </w:pPr>
      <w:r w:rsidRPr="00781BD0">
        <w:rPr>
          <w:rFonts w:ascii="Times New Roman" w:hAnsi="Times New Roman"/>
          <w:bCs/>
          <w:sz w:val="24"/>
          <w:szCs w:val="24"/>
        </w:rPr>
        <w:t>В связи с отсутствием в прогнозном плане приватизации областного имущества на 2017-2019 годы, утвержденном постановлением Законодательного Собрания Амурской области от 24.11.2016 № 3/123, акций акционерных обществ и долей обществ с ограниченной ответственностью, находящихся в собственности области, поступления в областной бюджет средств от продажи акций акционерных обществ и долей обществ с ограниченной ответственностью на 2018-2019 годы не планируются.</w:t>
      </w:r>
    </w:p>
    <w:p w:rsidR="00781BD0" w:rsidRPr="00781BD0" w:rsidRDefault="00781BD0" w:rsidP="00781BD0">
      <w:pPr>
        <w:spacing w:after="0" w:line="240" w:lineRule="auto"/>
        <w:ind w:firstLine="680"/>
        <w:jc w:val="both"/>
        <w:outlineLvl w:val="0"/>
        <w:rPr>
          <w:rFonts w:ascii="Times New Roman" w:hAnsi="Times New Roman"/>
          <w:b/>
          <w:sz w:val="24"/>
          <w:szCs w:val="24"/>
        </w:rPr>
      </w:pPr>
    </w:p>
    <w:p w:rsidR="00E220E3" w:rsidRPr="00E220E3" w:rsidRDefault="00E220E3" w:rsidP="00E220E3">
      <w:pPr>
        <w:pStyle w:val="a4"/>
        <w:keepNext/>
        <w:numPr>
          <w:ilvl w:val="0"/>
          <w:numId w:val="2"/>
        </w:numPr>
        <w:spacing w:after="0" w:line="240" w:lineRule="auto"/>
        <w:jc w:val="center"/>
        <w:outlineLvl w:val="6"/>
        <w:rPr>
          <w:rFonts w:ascii="Times New Roman" w:hAnsi="Times New Roman"/>
          <w:b/>
          <w:sz w:val="24"/>
          <w:szCs w:val="24"/>
        </w:rPr>
      </w:pPr>
      <w:r w:rsidRPr="00E220E3">
        <w:rPr>
          <w:rFonts w:ascii="Times New Roman" w:hAnsi="Times New Roman"/>
          <w:b/>
          <w:sz w:val="24"/>
          <w:szCs w:val="24"/>
        </w:rPr>
        <w:t xml:space="preserve">Расходы областного бюджета на 2018 год и плановый период </w:t>
      </w:r>
      <w:r w:rsidR="00BC12C0">
        <w:rPr>
          <w:rFonts w:ascii="Times New Roman" w:hAnsi="Times New Roman"/>
          <w:b/>
          <w:sz w:val="24"/>
          <w:szCs w:val="24"/>
        </w:rPr>
        <w:br/>
      </w:r>
      <w:r w:rsidRPr="00E220E3">
        <w:rPr>
          <w:rFonts w:ascii="Times New Roman" w:hAnsi="Times New Roman"/>
          <w:b/>
          <w:sz w:val="24"/>
          <w:szCs w:val="24"/>
        </w:rPr>
        <w:t>2019 и 2020 годов</w:t>
      </w:r>
    </w:p>
    <w:p w:rsidR="00E220E3" w:rsidRDefault="00E220E3" w:rsidP="00E220E3">
      <w:pPr>
        <w:tabs>
          <w:tab w:val="left" w:pos="9656"/>
        </w:tabs>
        <w:spacing w:after="0" w:line="240" w:lineRule="auto"/>
        <w:ind w:firstLine="680"/>
        <w:jc w:val="both"/>
        <w:rPr>
          <w:rFonts w:ascii="Times New Roman" w:hAnsi="Times New Roman"/>
          <w:sz w:val="24"/>
          <w:szCs w:val="24"/>
        </w:rPr>
      </w:pPr>
      <w:r>
        <w:rPr>
          <w:rFonts w:ascii="Times New Roman" w:hAnsi="Times New Roman"/>
          <w:sz w:val="24"/>
          <w:szCs w:val="24"/>
        </w:rPr>
        <w:t xml:space="preserve">Согласно </w:t>
      </w:r>
      <w:r w:rsidRPr="00281FCD">
        <w:rPr>
          <w:rFonts w:ascii="Times New Roman" w:hAnsi="Times New Roman"/>
          <w:sz w:val="24"/>
          <w:szCs w:val="24"/>
        </w:rPr>
        <w:t>проект</w:t>
      </w:r>
      <w:r>
        <w:rPr>
          <w:rFonts w:ascii="Times New Roman" w:hAnsi="Times New Roman"/>
          <w:sz w:val="24"/>
          <w:szCs w:val="24"/>
        </w:rPr>
        <w:t>у</w:t>
      </w:r>
      <w:r w:rsidRPr="00281FCD">
        <w:rPr>
          <w:rFonts w:ascii="Times New Roman" w:hAnsi="Times New Roman"/>
          <w:sz w:val="24"/>
          <w:szCs w:val="24"/>
        </w:rPr>
        <w:t xml:space="preserve"> закона «Об областном бюджете на 201</w:t>
      </w:r>
      <w:r>
        <w:rPr>
          <w:rFonts w:ascii="Times New Roman" w:hAnsi="Times New Roman"/>
          <w:sz w:val="24"/>
          <w:szCs w:val="24"/>
        </w:rPr>
        <w:t>8</w:t>
      </w:r>
      <w:r w:rsidRPr="00281FCD">
        <w:rPr>
          <w:rFonts w:ascii="Times New Roman" w:hAnsi="Times New Roman"/>
          <w:sz w:val="24"/>
          <w:szCs w:val="24"/>
        </w:rPr>
        <w:t xml:space="preserve"> год и плановый период 201</w:t>
      </w:r>
      <w:r>
        <w:rPr>
          <w:rFonts w:ascii="Times New Roman" w:hAnsi="Times New Roman"/>
          <w:sz w:val="24"/>
          <w:szCs w:val="24"/>
        </w:rPr>
        <w:t>9</w:t>
      </w:r>
      <w:r w:rsidRPr="00281FCD">
        <w:rPr>
          <w:rFonts w:ascii="Times New Roman" w:hAnsi="Times New Roman"/>
          <w:sz w:val="24"/>
          <w:szCs w:val="24"/>
        </w:rPr>
        <w:t xml:space="preserve"> и 20</w:t>
      </w:r>
      <w:r>
        <w:rPr>
          <w:rFonts w:ascii="Times New Roman" w:hAnsi="Times New Roman"/>
          <w:sz w:val="24"/>
          <w:szCs w:val="24"/>
        </w:rPr>
        <w:t>20</w:t>
      </w:r>
      <w:r w:rsidRPr="00281FCD">
        <w:rPr>
          <w:rFonts w:ascii="Times New Roman" w:hAnsi="Times New Roman"/>
          <w:sz w:val="24"/>
          <w:szCs w:val="24"/>
        </w:rPr>
        <w:t xml:space="preserve"> годов»</w:t>
      </w:r>
      <w:r>
        <w:rPr>
          <w:rFonts w:ascii="Times New Roman" w:hAnsi="Times New Roman"/>
          <w:sz w:val="24"/>
          <w:szCs w:val="24"/>
        </w:rPr>
        <w:t xml:space="preserve"> расходы</w:t>
      </w:r>
      <w:r>
        <w:rPr>
          <w:rFonts w:ascii="Times New Roman" w:hAnsi="Times New Roman"/>
          <w:b/>
          <w:i/>
          <w:sz w:val="24"/>
          <w:szCs w:val="24"/>
        </w:rPr>
        <w:t xml:space="preserve"> </w:t>
      </w:r>
      <w:r>
        <w:rPr>
          <w:rFonts w:ascii="Times New Roman" w:hAnsi="Times New Roman"/>
          <w:sz w:val="24"/>
          <w:szCs w:val="24"/>
        </w:rPr>
        <w:t xml:space="preserve">на 2018 год определены в </w:t>
      </w:r>
      <w:r w:rsidRPr="00AC0E49">
        <w:rPr>
          <w:rFonts w:ascii="Times New Roman" w:hAnsi="Times New Roman"/>
          <w:sz w:val="24"/>
          <w:szCs w:val="24"/>
        </w:rPr>
        <w:t>объеме 34769717,4 тыс</w:t>
      </w:r>
      <w:r>
        <w:rPr>
          <w:rFonts w:ascii="Times New Roman" w:hAnsi="Times New Roman"/>
          <w:sz w:val="24"/>
          <w:szCs w:val="24"/>
        </w:rPr>
        <w:t>. рублей, что на уровне</w:t>
      </w:r>
      <w:r>
        <w:rPr>
          <w:rFonts w:ascii="Times New Roman" w:hAnsi="Times New Roman"/>
          <w:color w:val="333399"/>
          <w:sz w:val="24"/>
          <w:szCs w:val="24"/>
        </w:rPr>
        <w:t xml:space="preserve"> </w:t>
      </w:r>
      <w:r>
        <w:rPr>
          <w:rFonts w:ascii="Times New Roman" w:hAnsi="Times New Roman"/>
          <w:sz w:val="24"/>
          <w:szCs w:val="24"/>
        </w:rPr>
        <w:t>76,4</w:t>
      </w:r>
      <w:r w:rsidRPr="00582DC6">
        <w:rPr>
          <w:rFonts w:ascii="Times New Roman" w:hAnsi="Times New Roman"/>
          <w:sz w:val="24"/>
          <w:szCs w:val="24"/>
        </w:rPr>
        <w:t xml:space="preserve"> </w:t>
      </w:r>
      <w:r>
        <w:rPr>
          <w:rFonts w:ascii="Times New Roman" w:hAnsi="Times New Roman"/>
          <w:sz w:val="24"/>
          <w:szCs w:val="24"/>
        </w:rPr>
        <w:t>процента к расходам областного бюджета на 2017 год,</w:t>
      </w:r>
      <w:r>
        <w:rPr>
          <w:rFonts w:ascii="Times New Roman" w:hAnsi="Times New Roman"/>
          <w:color w:val="333399"/>
          <w:sz w:val="24"/>
          <w:szCs w:val="24"/>
        </w:rPr>
        <w:t xml:space="preserve"> </w:t>
      </w:r>
      <w:r>
        <w:rPr>
          <w:rFonts w:ascii="Times New Roman" w:hAnsi="Times New Roman"/>
          <w:sz w:val="24"/>
          <w:szCs w:val="24"/>
        </w:rPr>
        <w:t>утвержденным бюджетной росписью, и 76,7</w:t>
      </w:r>
      <w:r w:rsidRPr="00C06F2A">
        <w:rPr>
          <w:rFonts w:ascii="Times New Roman" w:hAnsi="Times New Roman"/>
          <w:sz w:val="24"/>
          <w:szCs w:val="24"/>
        </w:rPr>
        <w:t xml:space="preserve"> </w:t>
      </w:r>
      <w:r>
        <w:rPr>
          <w:rFonts w:ascii="Times New Roman" w:hAnsi="Times New Roman"/>
          <w:sz w:val="24"/>
          <w:szCs w:val="24"/>
        </w:rPr>
        <w:t>процента к ожидаемому исполнению за 2017 год.</w:t>
      </w:r>
    </w:p>
    <w:p w:rsidR="00E220E3" w:rsidRDefault="00E220E3" w:rsidP="00E220E3">
      <w:pPr>
        <w:tabs>
          <w:tab w:val="left" w:pos="9656"/>
        </w:tabs>
        <w:spacing w:after="0" w:line="240" w:lineRule="auto"/>
        <w:ind w:firstLine="680"/>
        <w:jc w:val="both"/>
        <w:rPr>
          <w:rFonts w:ascii="Times New Roman" w:hAnsi="Times New Roman"/>
          <w:sz w:val="24"/>
          <w:szCs w:val="24"/>
        </w:rPr>
      </w:pPr>
      <w:r>
        <w:rPr>
          <w:rFonts w:ascii="Times New Roman" w:hAnsi="Times New Roman"/>
          <w:sz w:val="24"/>
          <w:szCs w:val="24"/>
        </w:rPr>
        <w:lastRenderedPageBreak/>
        <w:t>Объем расходов на 2019 год спроектирован в сумме 39492766,4</w:t>
      </w:r>
      <w:r w:rsidRPr="00203191">
        <w:rPr>
          <w:rFonts w:ascii="Times New Roman" w:hAnsi="Times New Roman"/>
          <w:sz w:val="24"/>
          <w:szCs w:val="24"/>
        </w:rPr>
        <w:t xml:space="preserve"> </w:t>
      </w:r>
      <w:r w:rsidRPr="00B31603">
        <w:rPr>
          <w:rFonts w:ascii="Times New Roman" w:hAnsi="Times New Roman"/>
          <w:sz w:val="24"/>
          <w:szCs w:val="24"/>
        </w:rPr>
        <w:t xml:space="preserve">тыс. рублей, или </w:t>
      </w:r>
      <w:r w:rsidRPr="00B31603">
        <w:rPr>
          <w:rFonts w:ascii="Times New Roman" w:hAnsi="Times New Roman"/>
          <w:sz w:val="24"/>
          <w:szCs w:val="24"/>
        </w:rPr>
        <w:br/>
      </w:r>
      <w:r>
        <w:rPr>
          <w:rFonts w:ascii="Times New Roman" w:hAnsi="Times New Roman"/>
          <w:sz w:val="24"/>
          <w:szCs w:val="24"/>
        </w:rPr>
        <w:t>113,</w:t>
      </w:r>
      <w:r w:rsidR="0036081A">
        <w:rPr>
          <w:rFonts w:ascii="Times New Roman" w:hAnsi="Times New Roman"/>
          <w:sz w:val="24"/>
          <w:szCs w:val="24"/>
        </w:rPr>
        <w:t>6</w:t>
      </w:r>
      <w:r w:rsidRPr="00203191">
        <w:rPr>
          <w:rFonts w:ascii="Times New Roman" w:hAnsi="Times New Roman"/>
          <w:sz w:val="24"/>
          <w:szCs w:val="24"/>
        </w:rPr>
        <w:t xml:space="preserve"> </w:t>
      </w:r>
      <w:r w:rsidRPr="00B31603">
        <w:rPr>
          <w:rFonts w:ascii="Times New Roman" w:hAnsi="Times New Roman"/>
          <w:sz w:val="24"/>
          <w:szCs w:val="24"/>
        </w:rPr>
        <w:t xml:space="preserve">процента к </w:t>
      </w:r>
      <w:r>
        <w:rPr>
          <w:rFonts w:ascii="Times New Roman" w:hAnsi="Times New Roman"/>
          <w:sz w:val="24"/>
          <w:szCs w:val="24"/>
        </w:rPr>
        <w:t>проектируемому</w:t>
      </w:r>
      <w:r w:rsidRPr="00B31603">
        <w:rPr>
          <w:rFonts w:ascii="Times New Roman" w:hAnsi="Times New Roman"/>
          <w:sz w:val="24"/>
          <w:szCs w:val="24"/>
        </w:rPr>
        <w:t xml:space="preserve"> объему расходов на 201</w:t>
      </w:r>
      <w:r>
        <w:rPr>
          <w:rFonts w:ascii="Times New Roman" w:hAnsi="Times New Roman"/>
          <w:sz w:val="24"/>
          <w:szCs w:val="24"/>
        </w:rPr>
        <w:t>8</w:t>
      </w:r>
      <w:r w:rsidRPr="00B31603">
        <w:rPr>
          <w:rFonts w:ascii="Times New Roman" w:hAnsi="Times New Roman"/>
          <w:sz w:val="24"/>
          <w:szCs w:val="24"/>
        </w:rPr>
        <w:t xml:space="preserve"> год, на 20</w:t>
      </w:r>
      <w:r>
        <w:rPr>
          <w:rFonts w:ascii="Times New Roman" w:hAnsi="Times New Roman"/>
          <w:sz w:val="24"/>
          <w:szCs w:val="24"/>
        </w:rPr>
        <w:t>20</w:t>
      </w:r>
      <w:r w:rsidRPr="00B31603">
        <w:rPr>
          <w:rFonts w:ascii="Times New Roman" w:hAnsi="Times New Roman"/>
          <w:sz w:val="24"/>
          <w:szCs w:val="24"/>
        </w:rPr>
        <w:t xml:space="preserve"> год в сумме </w:t>
      </w:r>
      <w:r w:rsidRPr="00B31603">
        <w:rPr>
          <w:rFonts w:ascii="Times New Roman" w:hAnsi="Times New Roman"/>
          <w:sz w:val="24"/>
          <w:szCs w:val="24"/>
        </w:rPr>
        <w:br/>
      </w:r>
      <w:r>
        <w:rPr>
          <w:rFonts w:ascii="Times New Roman" w:hAnsi="Times New Roman"/>
          <w:sz w:val="24"/>
          <w:szCs w:val="24"/>
        </w:rPr>
        <w:t>39917313,3</w:t>
      </w:r>
      <w:r w:rsidRPr="00203191">
        <w:rPr>
          <w:rFonts w:ascii="Times New Roman" w:hAnsi="Times New Roman"/>
          <w:sz w:val="24"/>
          <w:szCs w:val="24"/>
        </w:rPr>
        <w:t xml:space="preserve"> </w:t>
      </w:r>
      <w:r w:rsidRPr="00B31603">
        <w:rPr>
          <w:rFonts w:ascii="Times New Roman" w:hAnsi="Times New Roman"/>
          <w:sz w:val="24"/>
          <w:szCs w:val="24"/>
        </w:rPr>
        <w:t xml:space="preserve">тыс. рублей, или </w:t>
      </w:r>
      <w:r>
        <w:rPr>
          <w:rFonts w:ascii="Times New Roman" w:hAnsi="Times New Roman"/>
          <w:sz w:val="24"/>
          <w:szCs w:val="24"/>
        </w:rPr>
        <w:t>114,8</w:t>
      </w:r>
      <w:r w:rsidRPr="00203191">
        <w:rPr>
          <w:rFonts w:ascii="Times New Roman" w:hAnsi="Times New Roman"/>
          <w:sz w:val="24"/>
          <w:szCs w:val="24"/>
        </w:rPr>
        <w:t xml:space="preserve"> </w:t>
      </w:r>
      <w:r w:rsidRPr="00B31603">
        <w:rPr>
          <w:rFonts w:ascii="Times New Roman" w:hAnsi="Times New Roman"/>
          <w:sz w:val="24"/>
          <w:szCs w:val="24"/>
        </w:rPr>
        <w:t>процент</w:t>
      </w:r>
      <w:r>
        <w:rPr>
          <w:rFonts w:ascii="Times New Roman" w:hAnsi="Times New Roman"/>
          <w:sz w:val="24"/>
          <w:szCs w:val="24"/>
        </w:rPr>
        <w:t>ов</w:t>
      </w:r>
      <w:r w:rsidRPr="00B31603">
        <w:rPr>
          <w:rFonts w:ascii="Times New Roman" w:hAnsi="Times New Roman"/>
          <w:sz w:val="24"/>
          <w:szCs w:val="24"/>
        </w:rPr>
        <w:t xml:space="preserve"> к </w:t>
      </w:r>
      <w:r>
        <w:rPr>
          <w:rFonts w:ascii="Times New Roman" w:hAnsi="Times New Roman"/>
          <w:sz w:val="24"/>
          <w:szCs w:val="24"/>
        </w:rPr>
        <w:t>проектируемому</w:t>
      </w:r>
      <w:r w:rsidRPr="00B31603">
        <w:rPr>
          <w:rFonts w:ascii="Times New Roman" w:hAnsi="Times New Roman"/>
          <w:sz w:val="24"/>
          <w:szCs w:val="24"/>
        </w:rPr>
        <w:t xml:space="preserve"> объему расходов на </w:t>
      </w:r>
      <w:r>
        <w:rPr>
          <w:rFonts w:ascii="Times New Roman" w:hAnsi="Times New Roman"/>
          <w:sz w:val="24"/>
          <w:szCs w:val="24"/>
        </w:rPr>
        <w:br/>
      </w:r>
      <w:r w:rsidRPr="00B31603">
        <w:rPr>
          <w:rFonts w:ascii="Times New Roman" w:hAnsi="Times New Roman"/>
          <w:sz w:val="24"/>
          <w:szCs w:val="24"/>
        </w:rPr>
        <w:t>201</w:t>
      </w:r>
      <w:r>
        <w:rPr>
          <w:rFonts w:ascii="Times New Roman" w:hAnsi="Times New Roman"/>
          <w:sz w:val="24"/>
          <w:szCs w:val="24"/>
        </w:rPr>
        <w:t>8</w:t>
      </w:r>
      <w:r w:rsidRPr="00B31603">
        <w:rPr>
          <w:rFonts w:ascii="Times New Roman" w:hAnsi="Times New Roman"/>
          <w:sz w:val="24"/>
          <w:szCs w:val="24"/>
        </w:rPr>
        <w:t xml:space="preserve"> год и </w:t>
      </w:r>
      <w:r>
        <w:rPr>
          <w:rFonts w:ascii="Times New Roman" w:hAnsi="Times New Roman"/>
          <w:sz w:val="24"/>
          <w:szCs w:val="24"/>
        </w:rPr>
        <w:t>101,1</w:t>
      </w:r>
      <w:r w:rsidRPr="00203191">
        <w:rPr>
          <w:rFonts w:ascii="Times New Roman" w:hAnsi="Times New Roman"/>
          <w:sz w:val="24"/>
          <w:szCs w:val="24"/>
        </w:rPr>
        <w:t xml:space="preserve"> </w:t>
      </w:r>
      <w:r w:rsidRPr="00B31603">
        <w:rPr>
          <w:rFonts w:ascii="Times New Roman" w:hAnsi="Times New Roman"/>
          <w:sz w:val="24"/>
          <w:szCs w:val="24"/>
        </w:rPr>
        <w:t xml:space="preserve">процента </w:t>
      </w:r>
      <w:r>
        <w:rPr>
          <w:rFonts w:ascii="Times New Roman" w:hAnsi="Times New Roman"/>
          <w:sz w:val="24"/>
          <w:szCs w:val="24"/>
        </w:rPr>
        <w:t>к проектируемому</w:t>
      </w:r>
      <w:r w:rsidRPr="00B31603">
        <w:rPr>
          <w:rFonts w:ascii="Times New Roman" w:hAnsi="Times New Roman"/>
          <w:sz w:val="24"/>
          <w:szCs w:val="24"/>
        </w:rPr>
        <w:t xml:space="preserve"> объему расходов на 20</w:t>
      </w:r>
      <w:r>
        <w:rPr>
          <w:rFonts w:ascii="Times New Roman" w:hAnsi="Times New Roman"/>
          <w:sz w:val="24"/>
          <w:szCs w:val="24"/>
        </w:rPr>
        <w:t>20</w:t>
      </w:r>
      <w:r w:rsidRPr="00B31603">
        <w:rPr>
          <w:rFonts w:ascii="Times New Roman" w:hAnsi="Times New Roman"/>
          <w:sz w:val="24"/>
          <w:szCs w:val="24"/>
        </w:rPr>
        <w:t xml:space="preserve"> год.</w:t>
      </w:r>
    </w:p>
    <w:p w:rsidR="00E220E3" w:rsidRDefault="00E220E3" w:rsidP="00E220E3">
      <w:pPr>
        <w:tabs>
          <w:tab w:val="left" w:pos="709"/>
        </w:tabs>
        <w:spacing w:after="0" w:line="240" w:lineRule="auto"/>
        <w:ind w:firstLine="709"/>
        <w:jc w:val="both"/>
        <w:rPr>
          <w:rFonts w:ascii="Times New Roman" w:hAnsi="Times New Roman"/>
          <w:sz w:val="24"/>
          <w:szCs w:val="24"/>
        </w:rPr>
      </w:pPr>
      <w:r w:rsidRPr="00EC5D6E">
        <w:rPr>
          <w:rFonts w:ascii="Times New Roman" w:hAnsi="Times New Roman"/>
          <w:sz w:val="24"/>
          <w:szCs w:val="24"/>
        </w:rPr>
        <w:t xml:space="preserve">Законопроектом </w:t>
      </w:r>
      <w:r>
        <w:rPr>
          <w:rFonts w:ascii="Times New Roman" w:hAnsi="Times New Roman"/>
          <w:sz w:val="24"/>
          <w:szCs w:val="24"/>
        </w:rPr>
        <w:t xml:space="preserve">(пункт 4 статьи 9) </w:t>
      </w:r>
      <w:r w:rsidRPr="00EC5D6E">
        <w:rPr>
          <w:rFonts w:ascii="Times New Roman" w:hAnsi="Times New Roman"/>
          <w:sz w:val="24"/>
          <w:szCs w:val="24"/>
        </w:rPr>
        <w:t>предусмотрен объем условно утверждаемых расходов областного бюджета на плановый период, в том числе на 2019 год в сумме 1012635,0 тыс. рублей, или 2,5 процента общего объема расходов и на 2020 год в сумме 2100911,2 тыс. рублей, или 5,0 процент</w:t>
      </w:r>
      <w:r w:rsidR="001944F7">
        <w:rPr>
          <w:rFonts w:ascii="Times New Roman" w:hAnsi="Times New Roman"/>
          <w:sz w:val="24"/>
          <w:szCs w:val="24"/>
        </w:rPr>
        <w:t>ов</w:t>
      </w:r>
      <w:r w:rsidRPr="00EC5D6E">
        <w:rPr>
          <w:rFonts w:ascii="Times New Roman" w:hAnsi="Times New Roman"/>
          <w:sz w:val="24"/>
          <w:szCs w:val="24"/>
        </w:rPr>
        <w:t xml:space="preserve"> общего объема расходов.</w:t>
      </w:r>
    </w:p>
    <w:p w:rsidR="00E220E3"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З</w:t>
      </w:r>
      <w:r w:rsidRPr="00066A7B">
        <w:rPr>
          <w:rFonts w:ascii="Times New Roman" w:hAnsi="Times New Roman"/>
          <w:sz w:val="24"/>
          <w:szCs w:val="24"/>
        </w:rPr>
        <w:t>акон</w:t>
      </w:r>
      <w:r>
        <w:rPr>
          <w:rFonts w:ascii="Times New Roman" w:hAnsi="Times New Roman"/>
          <w:sz w:val="24"/>
          <w:szCs w:val="24"/>
        </w:rPr>
        <w:t>ом</w:t>
      </w:r>
      <w:r w:rsidRPr="00066A7B">
        <w:rPr>
          <w:rFonts w:ascii="Times New Roman" w:hAnsi="Times New Roman"/>
          <w:sz w:val="24"/>
          <w:szCs w:val="24"/>
        </w:rPr>
        <w:t xml:space="preserve"> Амурской </w:t>
      </w:r>
      <w:r>
        <w:rPr>
          <w:rFonts w:ascii="Times New Roman" w:hAnsi="Times New Roman"/>
          <w:sz w:val="24"/>
          <w:szCs w:val="24"/>
        </w:rPr>
        <w:t xml:space="preserve">области </w:t>
      </w:r>
      <w:r w:rsidRPr="008E5642">
        <w:rPr>
          <w:rFonts w:ascii="Times New Roman" w:hAnsi="Times New Roman"/>
          <w:sz w:val="24"/>
          <w:szCs w:val="24"/>
        </w:rPr>
        <w:t>от 31.10.2017 № 132-ОЗ «О приостановлении действия отдельных положений Закона Амурской области «О бюджетном процессе в Амурской области»</w:t>
      </w:r>
      <w:r>
        <w:rPr>
          <w:rFonts w:ascii="Times New Roman" w:hAnsi="Times New Roman"/>
          <w:sz w:val="24"/>
          <w:szCs w:val="24"/>
        </w:rPr>
        <w:t xml:space="preserve"> </w:t>
      </w:r>
      <w:r w:rsidR="001944F7">
        <w:rPr>
          <w:rFonts w:ascii="Times New Roman" w:hAnsi="Times New Roman"/>
          <w:sz w:val="24"/>
          <w:szCs w:val="24"/>
        </w:rPr>
        <w:t>до</w:t>
      </w:r>
      <w:r>
        <w:rPr>
          <w:rFonts w:ascii="Times New Roman" w:hAnsi="Times New Roman"/>
          <w:sz w:val="24"/>
          <w:szCs w:val="24"/>
        </w:rPr>
        <w:t xml:space="preserve"> </w:t>
      </w:r>
      <w:r w:rsidRPr="00066A7B">
        <w:rPr>
          <w:rFonts w:ascii="Times New Roman" w:hAnsi="Times New Roman"/>
          <w:sz w:val="24"/>
          <w:szCs w:val="24"/>
        </w:rPr>
        <w:t>1 января 2018 года</w:t>
      </w:r>
      <w:r>
        <w:rPr>
          <w:rFonts w:ascii="Times New Roman" w:hAnsi="Times New Roman"/>
          <w:sz w:val="24"/>
          <w:szCs w:val="24"/>
        </w:rPr>
        <w:t xml:space="preserve"> приостановлено действие </w:t>
      </w:r>
      <w:r w:rsidRPr="00066A7B">
        <w:rPr>
          <w:rFonts w:ascii="Times New Roman" w:hAnsi="Times New Roman"/>
          <w:sz w:val="24"/>
          <w:szCs w:val="24"/>
        </w:rPr>
        <w:t>пункт</w:t>
      </w:r>
      <w:r>
        <w:rPr>
          <w:rFonts w:ascii="Times New Roman" w:hAnsi="Times New Roman"/>
          <w:sz w:val="24"/>
          <w:szCs w:val="24"/>
        </w:rPr>
        <w:t>а</w:t>
      </w:r>
      <w:r w:rsidRPr="00066A7B">
        <w:rPr>
          <w:rFonts w:ascii="Times New Roman" w:hAnsi="Times New Roman"/>
          <w:sz w:val="24"/>
          <w:szCs w:val="24"/>
        </w:rPr>
        <w:t xml:space="preserve"> 6 части 1 статьи 12</w:t>
      </w:r>
      <w:r w:rsidRPr="00066A7B">
        <w:t xml:space="preserve"> </w:t>
      </w:r>
      <w:r w:rsidRPr="00066A7B">
        <w:rPr>
          <w:rFonts w:ascii="Times New Roman" w:hAnsi="Times New Roman"/>
          <w:sz w:val="24"/>
          <w:szCs w:val="24"/>
        </w:rPr>
        <w:t>Закона Амурской области «О бюджетном процессе в Амурской области»</w:t>
      </w:r>
      <w:r>
        <w:rPr>
          <w:rFonts w:ascii="Times New Roman" w:hAnsi="Times New Roman"/>
          <w:sz w:val="24"/>
          <w:szCs w:val="24"/>
        </w:rPr>
        <w:t xml:space="preserve">, </w:t>
      </w:r>
      <w:r w:rsidRPr="00066A7B">
        <w:rPr>
          <w:rFonts w:ascii="Times New Roman" w:hAnsi="Times New Roman"/>
          <w:sz w:val="24"/>
          <w:szCs w:val="24"/>
        </w:rPr>
        <w:t>определяющего обяза</w:t>
      </w:r>
      <w:r w:rsidR="001944F7">
        <w:rPr>
          <w:rFonts w:ascii="Times New Roman" w:hAnsi="Times New Roman"/>
          <w:sz w:val="24"/>
          <w:szCs w:val="24"/>
        </w:rPr>
        <w:t xml:space="preserve">тельность </w:t>
      </w:r>
      <w:r w:rsidRPr="00066A7B">
        <w:rPr>
          <w:rFonts w:ascii="Times New Roman" w:hAnsi="Times New Roman"/>
          <w:sz w:val="24"/>
          <w:szCs w:val="24"/>
        </w:rPr>
        <w:t>утвержд</w:t>
      </w:r>
      <w:r>
        <w:rPr>
          <w:rFonts w:ascii="Times New Roman" w:hAnsi="Times New Roman"/>
          <w:sz w:val="24"/>
          <w:szCs w:val="24"/>
        </w:rPr>
        <w:t>ения</w:t>
      </w:r>
      <w:r w:rsidRPr="00066A7B">
        <w:rPr>
          <w:rFonts w:ascii="Times New Roman" w:hAnsi="Times New Roman"/>
          <w:sz w:val="24"/>
          <w:szCs w:val="24"/>
        </w:rPr>
        <w:t xml:space="preserve"> законом о бюджете на первый и вт</w:t>
      </w:r>
      <w:r w:rsidR="00BC12C0">
        <w:rPr>
          <w:rFonts w:ascii="Times New Roman" w:hAnsi="Times New Roman"/>
          <w:sz w:val="24"/>
          <w:szCs w:val="24"/>
        </w:rPr>
        <w:t>орой годы планового периода общего</w:t>
      </w:r>
      <w:r w:rsidRPr="00066A7B">
        <w:rPr>
          <w:rFonts w:ascii="Times New Roman" w:hAnsi="Times New Roman"/>
          <w:sz w:val="24"/>
          <w:szCs w:val="24"/>
        </w:rPr>
        <w:t xml:space="preserve"> объем</w:t>
      </w:r>
      <w:r w:rsidR="00BC12C0">
        <w:rPr>
          <w:rFonts w:ascii="Times New Roman" w:hAnsi="Times New Roman"/>
          <w:sz w:val="24"/>
          <w:szCs w:val="24"/>
        </w:rPr>
        <w:t xml:space="preserve">а </w:t>
      </w:r>
      <w:r w:rsidRPr="00066A7B">
        <w:rPr>
          <w:rFonts w:ascii="Times New Roman" w:hAnsi="Times New Roman"/>
          <w:sz w:val="24"/>
          <w:szCs w:val="24"/>
        </w:rPr>
        <w:t>условно утверждаемых расходов</w:t>
      </w:r>
      <w:r>
        <w:rPr>
          <w:rFonts w:ascii="Times New Roman" w:hAnsi="Times New Roman"/>
          <w:sz w:val="24"/>
          <w:szCs w:val="24"/>
        </w:rPr>
        <w:t>.</w:t>
      </w:r>
    </w:p>
    <w:p w:rsidR="00E220E3" w:rsidRPr="007C21AA" w:rsidRDefault="00E220E3" w:rsidP="00E220E3">
      <w:pPr>
        <w:tabs>
          <w:tab w:val="left" w:pos="9656"/>
        </w:tabs>
        <w:spacing w:after="0" w:line="240" w:lineRule="auto"/>
        <w:ind w:firstLine="709"/>
        <w:jc w:val="both"/>
        <w:rPr>
          <w:rFonts w:ascii="Times New Roman" w:hAnsi="Times New Roman"/>
          <w:sz w:val="24"/>
          <w:szCs w:val="24"/>
        </w:rPr>
      </w:pPr>
      <w:r w:rsidRPr="007C21AA">
        <w:rPr>
          <w:rFonts w:ascii="Times New Roman" w:hAnsi="Times New Roman"/>
          <w:sz w:val="24"/>
          <w:szCs w:val="24"/>
        </w:rPr>
        <w:t>Расходная часть проекта областного закона об областном бюджете на 2018 год сформирована без учета безвозмездных поступлений, предоставляемых бюджету Амурской области из федерального бюджета, за исключением дотации на выравнивание бюджетной обеспеченности, что не позволяет оценить соотношение показателей проекта областного бюджета по расходам очередного года к текущему году.</w:t>
      </w:r>
      <w:r>
        <w:rPr>
          <w:rFonts w:ascii="Times New Roman" w:hAnsi="Times New Roman"/>
          <w:sz w:val="24"/>
          <w:szCs w:val="24"/>
        </w:rPr>
        <w:t xml:space="preserve"> Объем дотации на выравнивание бюджетной обеспеченности с</w:t>
      </w:r>
      <w:r w:rsidR="00875B6A">
        <w:rPr>
          <w:rFonts w:ascii="Times New Roman" w:hAnsi="Times New Roman"/>
          <w:sz w:val="24"/>
          <w:szCs w:val="24"/>
        </w:rPr>
        <w:t>охране</w:t>
      </w:r>
      <w:r>
        <w:rPr>
          <w:rFonts w:ascii="Times New Roman" w:hAnsi="Times New Roman"/>
          <w:sz w:val="24"/>
          <w:szCs w:val="24"/>
        </w:rPr>
        <w:t xml:space="preserve">н на уровне </w:t>
      </w:r>
      <w:r w:rsidR="00875B6A">
        <w:rPr>
          <w:rFonts w:ascii="Times New Roman" w:hAnsi="Times New Roman"/>
          <w:sz w:val="24"/>
          <w:szCs w:val="24"/>
        </w:rPr>
        <w:t xml:space="preserve">расходов </w:t>
      </w:r>
      <w:r>
        <w:rPr>
          <w:rFonts w:ascii="Times New Roman" w:hAnsi="Times New Roman"/>
          <w:sz w:val="24"/>
          <w:szCs w:val="24"/>
        </w:rPr>
        <w:t xml:space="preserve">2018-2019 годов, </w:t>
      </w:r>
      <w:r w:rsidR="00875B6A">
        <w:rPr>
          <w:rFonts w:ascii="Times New Roman" w:hAnsi="Times New Roman"/>
          <w:sz w:val="24"/>
          <w:szCs w:val="24"/>
        </w:rPr>
        <w:t xml:space="preserve">предусмотренных </w:t>
      </w:r>
      <w:r>
        <w:rPr>
          <w:rFonts w:ascii="Times New Roman" w:hAnsi="Times New Roman"/>
          <w:sz w:val="24"/>
          <w:szCs w:val="24"/>
        </w:rPr>
        <w:t xml:space="preserve"> федеральн</w:t>
      </w:r>
      <w:r w:rsidR="00875B6A">
        <w:rPr>
          <w:rFonts w:ascii="Times New Roman" w:hAnsi="Times New Roman"/>
          <w:sz w:val="24"/>
          <w:szCs w:val="24"/>
        </w:rPr>
        <w:t>ым бюджетом</w:t>
      </w:r>
      <w:r>
        <w:rPr>
          <w:rFonts w:ascii="Times New Roman" w:hAnsi="Times New Roman"/>
          <w:sz w:val="24"/>
          <w:szCs w:val="24"/>
        </w:rPr>
        <w:t xml:space="preserve"> на</w:t>
      </w:r>
      <w:r w:rsidRPr="007C21AA">
        <w:rPr>
          <w:rFonts w:ascii="Times New Roman" w:hAnsi="Times New Roman"/>
          <w:sz w:val="24"/>
          <w:szCs w:val="24"/>
        </w:rPr>
        <w:t xml:space="preserve"> 2017 год и на плановый период 2018 и 2019 годов</w:t>
      </w:r>
      <w:r>
        <w:rPr>
          <w:rFonts w:ascii="Times New Roman" w:hAnsi="Times New Roman"/>
          <w:sz w:val="24"/>
          <w:szCs w:val="24"/>
        </w:rPr>
        <w:t>.</w:t>
      </w:r>
    </w:p>
    <w:p w:rsidR="00E220E3" w:rsidRPr="00163A52" w:rsidRDefault="00E220E3" w:rsidP="00E220E3">
      <w:pPr>
        <w:tabs>
          <w:tab w:val="left" w:pos="9656"/>
        </w:tabs>
        <w:spacing w:after="0" w:line="240" w:lineRule="auto"/>
        <w:ind w:firstLine="709"/>
        <w:jc w:val="both"/>
        <w:rPr>
          <w:rFonts w:ascii="Times New Roman" w:hAnsi="Times New Roman"/>
          <w:sz w:val="24"/>
          <w:szCs w:val="24"/>
        </w:rPr>
      </w:pPr>
      <w:r w:rsidRPr="00163A52">
        <w:rPr>
          <w:rFonts w:ascii="Times New Roman" w:hAnsi="Times New Roman"/>
          <w:sz w:val="24"/>
          <w:szCs w:val="24"/>
        </w:rPr>
        <w:t>Согласно пояснительной записке к законопроекту целевые межбюджетные трансферты, предназначенные бюджету Амурской области из федерального бюджета, будут предусмотрены в поправках к проекту закона «Об областном бюджете на 2018 год и плановый период 2019 и 2020 годов», представляемых в Законодательное Собрание Амурской области ко второму чтению.</w:t>
      </w:r>
    </w:p>
    <w:p w:rsidR="00E220E3" w:rsidRPr="00BC35BD" w:rsidRDefault="00E220E3" w:rsidP="00E220E3">
      <w:pPr>
        <w:tabs>
          <w:tab w:val="left" w:pos="9656"/>
        </w:tabs>
        <w:spacing w:after="0" w:line="240" w:lineRule="auto"/>
        <w:ind w:firstLine="709"/>
        <w:jc w:val="both"/>
        <w:rPr>
          <w:rFonts w:ascii="Times New Roman" w:hAnsi="Times New Roman"/>
          <w:sz w:val="24"/>
          <w:szCs w:val="24"/>
        </w:rPr>
      </w:pPr>
      <w:r w:rsidRPr="00BC35BD">
        <w:rPr>
          <w:rFonts w:ascii="Times New Roman" w:hAnsi="Times New Roman"/>
          <w:sz w:val="24"/>
          <w:szCs w:val="24"/>
        </w:rPr>
        <w:t>Областной бюджет на 2018 год сформирован в программном формате. Объем расходов на реализацию государственных программ составляет 34370346,3 тыс. рублей, объем непрограммных расходов – 399371,1 тыс. рублей, или 98,9 процента и 1,1 процента общего о</w:t>
      </w:r>
      <w:r w:rsidR="00EB717D">
        <w:rPr>
          <w:rFonts w:ascii="Times New Roman" w:hAnsi="Times New Roman"/>
          <w:sz w:val="24"/>
          <w:szCs w:val="24"/>
        </w:rPr>
        <w:t>бъема расходов, соответственно.</w:t>
      </w:r>
    </w:p>
    <w:p w:rsidR="00BC12C0" w:rsidRDefault="00E220E3" w:rsidP="00BC12C0">
      <w:pPr>
        <w:spacing w:after="0" w:line="240" w:lineRule="auto"/>
        <w:ind w:firstLine="709"/>
        <w:jc w:val="both"/>
        <w:rPr>
          <w:rFonts w:ascii="Times New Roman" w:hAnsi="Times New Roman"/>
          <w:sz w:val="24"/>
          <w:szCs w:val="24"/>
        </w:rPr>
      </w:pPr>
      <w:r w:rsidRPr="00BC35BD">
        <w:rPr>
          <w:rFonts w:ascii="Times New Roman" w:hAnsi="Times New Roman"/>
          <w:sz w:val="24"/>
          <w:szCs w:val="24"/>
        </w:rPr>
        <w:t>Непрограммные расходы, спроектированные на 2018 год, предусматривают финансирование расходов областного бюджета, отражение которых не предусмотрено в рамках подпрограмм государственных программ Амурской области по обособленным направлениям расходов</w:t>
      </w:r>
      <w:r w:rsidR="00EB717D">
        <w:rPr>
          <w:rFonts w:ascii="Times New Roman" w:hAnsi="Times New Roman"/>
          <w:sz w:val="24"/>
          <w:szCs w:val="24"/>
        </w:rPr>
        <w:t>.</w:t>
      </w:r>
    </w:p>
    <w:p w:rsidR="00E220E3" w:rsidRPr="00592E32" w:rsidRDefault="00E220E3" w:rsidP="00BC12C0">
      <w:pPr>
        <w:spacing w:after="0" w:line="240" w:lineRule="auto"/>
        <w:ind w:firstLine="709"/>
        <w:jc w:val="both"/>
        <w:rPr>
          <w:rFonts w:ascii="Times New Roman" w:hAnsi="Times New Roman"/>
          <w:sz w:val="24"/>
          <w:szCs w:val="24"/>
        </w:rPr>
      </w:pPr>
      <w:r w:rsidRPr="00592E32">
        <w:rPr>
          <w:rFonts w:ascii="Times New Roman" w:hAnsi="Times New Roman"/>
          <w:sz w:val="24"/>
          <w:szCs w:val="24"/>
        </w:rPr>
        <w:t>С 2014 года на территории Амурской области действует 13 государственных программ. В соответствии со статьей 179 Бюджетного кодекса Российской Федерации государственные программы субъекта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подлежат утверждению в сроки, установленные высшим исполнительным органом государственной власти субъекта Российской Федерации.</w:t>
      </w:r>
    </w:p>
    <w:p w:rsidR="00E220E3" w:rsidRPr="00592E32" w:rsidRDefault="00E220E3" w:rsidP="00E220E3">
      <w:pPr>
        <w:tabs>
          <w:tab w:val="left" w:pos="9656"/>
        </w:tabs>
        <w:spacing w:after="0" w:line="240" w:lineRule="auto"/>
        <w:ind w:firstLine="709"/>
        <w:jc w:val="both"/>
        <w:rPr>
          <w:rFonts w:ascii="Times New Roman" w:hAnsi="Times New Roman"/>
          <w:sz w:val="24"/>
          <w:szCs w:val="24"/>
        </w:rPr>
      </w:pPr>
      <w:r w:rsidRPr="00592E32">
        <w:rPr>
          <w:rFonts w:ascii="Times New Roman" w:hAnsi="Times New Roman"/>
          <w:sz w:val="24"/>
          <w:szCs w:val="24"/>
        </w:rPr>
        <w:t>Согласно Постановлению Правительства Амурской области от 29.07.2013 № 329 «Об утверждении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срок внесения в государственные программы изменений, связанных с формированием областного бюджета на очередной финансовый год и плановый период - не позднее чем за 30 дней до внесения проекта закона об областном бюджете на очередной финансовый год в Законодательное Собрание Амурской области.</w:t>
      </w:r>
    </w:p>
    <w:p w:rsidR="00E220E3" w:rsidRPr="00592E32" w:rsidRDefault="00E220E3" w:rsidP="00E220E3">
      <w:pPr>
        <w:tabs>
          <w:tab w:val="left" w:pos="709"/>
        </w:tabs>
        <w:spacing w:after="0" w:line="240" w:lineRule="auto"/>
        <w:ind w:firstLine="709"/>
        <w:jc w:val="both"/>
        <w:rPr>
          <w:rFonts w:ascii="Times New Roman" w:hAnsi="Times New Roman"/>
          <w:sz w:val="24"/>
          <w:szCs w:val="24"/>
        </w:rPr>
      </w:pPr>
      <w:r w:rsidRPr="00592E32">
        <w:rPr>
          <w:rFonts w:ascii="Times New Roman" w:hAnsi="Times New Roman"/>
          <w:sz w:val="24"/>
          <w:szCs w:val="24"/>
        </w:rPr>
        <w:t>Одновременно с законопроектом представлены постановления Правительства области, принятые в установленный срок и утверждающие изменения, внесенные в государственные программы, показатели которых приняты за основу при формировании областного бюджета на 2018 год.</w:t>
      </w:r>
    </w:p>
    <w:p w:rsidR="00E220E3" w:rsidRPr="00720D45" w:rsidRDefault="00E220E3" w:rsidP="00E220E3">
      <w:pPr>
        <w:tabs>
          <w:tab w:val="left" w:pos="709"/>
        </w:tabs>
        <w:spacing w:after="0" w:line="240" w:lineRule="auto"/>
        <w:ind w:firstLine="709"/>
        <w:jc w:val="both"/>
        <w:rPr>
          <w:rFonts w:ascii="Times New Roman" w:hAnsi="Times New Roman"/>
          <w:b/>
          <w:i/>
          <w:sz w:val="24"/>
          <w:szCs w:val="24"/>
        </w:rPr>
      </w:pPr>
      <w:r w:rsidRPr="00DC51D6">
        <w:rPr>
          <w:rFonts w:ascii="Times New Roman" w:hAnsi="Times New Roman"/>
          <w:b/>
          <w:i/>
          <w:sz w:val="24"/>
          <w:szCs w:val="24"/>
        </w:rPr>
        <w:lastRenderedPageBreak/>
        <w:t>Контрольно-счетная палата обращает внимание на несоответствие</w:t>
      </w:r>
      <w:r>
        <w:rPr>
          <w:rFonts w:ascii="Times New Roman" w:hAnsi="Times New Roman"/>
          <w:b/>
          <w:sz w:val="24"/>
          <w:szCs w:val="24"/>
        </w:rPr>
        <w:t xml:space="preserve"> </w:t>
      </w:r>
      <w:r w:rsidRPr="00BD0AA3">
        <w:rPr>
          <w:rFonts w:ascii="Times New Roman" w:hAnsi="Times New Roman"/>
          <w:b/>
          <w:i/>
          <w:sz w:val="24"/>
          <w:szCs w:val="24"/>
        </w:rPr>
        <w:t>объемов</w:t>
      </w:r>
      <w:r w:rsidRPr="00720D45">
        <w:rPr>
          <w:rFonts w:ascii="Times New Roman" w:hAnsi="Times New Roman"/>
          <w:b/>
          <w:i/>
          <w:sz w:val="24"/>
          <w:szCs w:val="24"/>
        </w:rPr>
        <w:t xml:space="preserve"> средств</w:t>
      </w:r>
      <w:r>
        <w:rPr>
          <w:rFonts w:ascii="Times New Roman" w:hAnsi="Times New Roman"/>
          <w:b/>
          <w:i/>
          <w:sz w:val="24"/>
          <w:szCs w:val="24"/>
        </w:rPr>
        <w:t xml:space="preserve"> на 2018, 2019 и 2020 годы</w:t>
      </w:r>
      <w:r w:rsidRPr="00720D45">
        <w:rPr>
          <w:rFonts w:ascii="Times New Roman" w:hAnsi="Times New Roman"/>
          <w:b/>
          <w:i/>
          <w:sz w:val="24"/>
          <w:szCs w:val="24"/>
        </w:rPr>
        <w:t xml:space="preserve">, </w:t>
      </w:r>
      <w:r>
        <w:rPr>
          <w:rFonts w:ascii="Times New Roman" w:hAnsi="Times New Roman"/>
          <w:b/>
          <w:i/>
          <w:sz w:val="24"/>
          <w:szCs w:val="24"/>
        </w:rPr>
        <w:t>предусмотренных паспортом</w:t>
      </w:r>
      <w:r w:rsidRPr="00720D45">
        <w:rPr>
          <w:rFonts w:ascii="Times New Roman" w:hAnsi="Times New Roman"/>
          <w:b/>
          <w:i/>
          <w:sz w:val="24"/>
          <w:szCs w:val="24"/>
        </w:rPr>
        <w:t xml:space="preserve"> </w:t>
      </w:r>
      <w:r>
        <w:rPr>
          <w:rFonts w:ascii="Times New Roman" w:hAnsi="Times New Roman"/>
          <w:b/>
          <w:i/>
          <w:sz w:val="24"/>
          <w:szCs w:val="24"/>
        </w:rPr>
        <w:t xml:space="preserve">подпрограммы </w:t>
      </w:r>
      <w:r w:rsidRPr="00BD0AA3">
        <w:rPr>
          <w:rFonts w:ascii="Times New Roman" w:hAnsi="Times New Roman"/>
          <w:b/>
          <w:i/>
          <w:sz w:val="24"/>
          <w:szCs w:val="24"/>
        </w:rPr>
        <w:t>«Обеспечение реализации основных направлений государственной политики в сфере реализации государственной программы»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w:t>
      </w:r>
      <w:r w:rsidRPr="00720D45">
        <w:rPr>
          <w:rFonts w:ascii="Times New Roman" w:hAnsi="Times New Roman"/>
          <w:b/>
          <w:i/>
          <w:sz w:val="24"/>
          <w:szCs w:val="24"/>
        </w:rPr>
        <w:t>, объемам бюджетных ассигнований, предусмотренных законопроектом</w:t>
      </w:r>
      <w:r>
        <w:rPr>
          <w:rFonts w:ascii="Times New Roman" w:hAnsi="Times New Roman"/>
          <w:b/>
          <w:i/>
          <w:sz w:val="24"/>
          <w:szCs w:val="24"/>
        </w:rPr>
        <w:t>.</w:t>
      </w:r>
    </w:p>
    <w:p w:rsidR="00E220E3" w:rsidRPr="00720D45"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Так, </w:t>
      </w:r>
      <w:r w:rsidRPr="00720D45">
        <w:rPr>
          <w:rFonts w:ascii="Times New Roman" w:hAnsi="Times New Roman"/>
          <w:sz w:val="24"/>
          <w:szCs w:val="24"/>
        </w:rPr>
        <w:t xml:space="preserve">законопроектом по </w:t>
      </w:r>
      <w:r>
        <w:rPr>
          <w:rFonts w:ascii="Times New Roman" w:hAnsi="Times New Roman"/>
          <w:sz w:val="24"/>
          <w:szCs w:val="24"/>
        </w:rPr>
        <w:t>подпрограмме «</w:t>
      </w:r>
      <w:r w:rsidRPr="00720D45">
        <w:rPr>
          <w:rFonts w:ascii="Times New Roman" w:hAnsi="Times New Roman"/>
          <w:sz w:val="24"/>
          <w:szCs w:val="24"/>
        </w:rPr>
        <w:t>Обеспечение реализации основных</w:t>
      </w:r>
      <w:r>
        <w:rPr>
          <w:rFonts w:ascii="Times New Roman" w:hAnsi="Times New Roman"/>
          <w:sz w:val="24"/>
          <w:szCs w:val="24"/>
        </w:rPr>
        <w:t xml:space="preserve"> </w:t>
      </w:r>
      <w:r w:rsidRPr="00720D45">
        <w:rPr>
          <w:rFonts w:ascii="Times New Roman" w:hAnsi="Times New Roman"/>
          <w:sz w:val="24"/>
          <w:szCs w:val="24"/>
        </w:rPr>
        <w:t>направлений государственной политики в сфере</w:t>
      </w:r>
      <w:r>
        <w:rPr>
          <w:rFonts w:ascii="Times New Roman" w:hAnsi="Times New Roman"/>
          <w:sz w:val="24"/>
          <w:szCs w:val="24"/>
        </w:rPr>
        <w:t xml:space="preserve"> </w:t>
      </w:r>
      <w:r w:rsidRPr="00720D45">
        <w:rPr>
          <w:rFonts w:ascii="Times New Roman" w:hAnsi="Times New Roman"/>
          <w:sz w:val="24"/>
          <w:szCs w:val="24"/>
        </w:rPr>
        <w:t>реализации государственной программы</w:t>
      </w:r>
      <w:r>
        <w:rPr>
          <w:rFonts w:ascii="Times New Roman" w:hAnsi="Times New Roman"/>
          <w:sz w:val="24"/>
          <w:szCs w:val="24"/>
        </w:rPr>
        <w:t xml:space="preserve">» </w:t>
      </w:r>
      <w:r w:rsidRPr="00720D45">
        <w:rPr>
          <w:rFonts w:ascii="Times New Roman" w:hAnsi="Times New Roman"/>
          <w:sz w:val="24"/>
          <w:szCs w:val="24"/>
        </w:rPr>
        <w:t>государственной программ</w:t>
      </w:r>
      <w:r>
        <w:rPr>
          <w:rFonts w:ascii="Times New Roman" w:hAnsi="Times New Roman"/>
          <w:sz w:val="24"/>
          <w:szCs w:val="24"/>
        </w:rPr>
        <w:t>ы</w:t>
      </w:r>
      <w:r w:rsidRPr="00720D45">
        <w:rPr>
          <w:rFonts w:ascii="Times New Roman" w:hAnsi="Times New Roman"/>
          <w:sz w:val="24"/>
          <w:szCs w:val="24"/>
        </w:rPr>
        <w:t xml:space="preserve"> «Модернизация жилищно-коммунального комплекса, энергосбережение и повышение энергетической эффективности в Амурской области на 2014-2020 годы» на 2018 год и плановый период 2019 и 2020 годов </w:t>
      </w:r>
      <w:r>
        <w:rPr>
          <w:rFonts w:ascii="Times New Roman" w:hAnsi="Times New Roman"/>
          <w:sz w:val="24"/>
          <w:szCs w:val="24"/>
        </w:rPr>
        <w:t xml:space="preserve">предусмотрены </w:t>
      </w:r>
      <w:r w:rsidRPr="00720D45">
        <w:rPr>
          <w:rFonts w:ascii="Times New Roman" w:hAnsi="Times New Roman"/>
          <w:sz w:val="24"/>
          <w:szCs w:val="24"/>
        </w:rPr>
        <w:t xml:space="preserve">ассигнования </w:t>
      </w:r>
      <w:r>
        <w:rPr>
          <w:rFonts w:ascii="Times New Roman" w:hAnsi="Times New Roman"/>
          <w:sz w:val="24"/>
          <w:szCs w:val="24"/>
        </w:rPr>
        <w:t>в сумме 43563,2 тыс. рублей, 55344,2 тыс. рублей и 47844,7 тыс. рублей, соответственно</w:t>
      </w:r>
      <w:r w:rsidRPr="00720D45">
        <w:rPr>
          <w:rFonts w:ascii="Times New Roman" w:hAnsi="Times New Roman"/>
          <w:sz w:val="24"/>
          <w:szCs w:val="24"/>
        </w:rPr>
        <w:t xml:space="preserve">. При этом в </w:t>
      </w:r>
      <w:r>
        <w:rPr>
          <w:rFonts w:ascii="Times New Roman" w:hAnsi="Times New Roman"/>
          <w:sz w:val="24"/>
          <w:szCs w:val="24"/>
        </w:rPr>
        <w:t>паспорте данной подпрограммы (в редакции постановления Правительства области от 25</w:t>
      </w:r>
      <w:r w:rsidRPr="00720D45">
        <w:rPr>
          <w:rFonts w:ascii="Times New Roman" w:hAnsi="Times New Roman"/>
          <w:sz w:val="24"/>
          <w:szCs w:val="24"/>
        </w:rPr>
        <w:t>.09.201</w:t>
      </w:r>
      <w:r>
        <w:rPr>
          <w:rFonts w:ascii="Times New Roman" w:hAnsi="Times New Roman"/>
          <w:sz w:val="24"/>
          <w:szCs w:val="24"/>
        </w:rPr>
        <w:t>7</w:t>
      </w:r>
      <w:r w:rsidRPr="00720D45">
        <w:rPr>
          <w:rFonts w:ascii="Times New Roman" w:hAnsi="Times New Roman"/>
          <w:sz w:val="24"/>
          <w:szCs w:val="24"/>
        </w:rPr>
        <w:t xml:space="preserve"> № </w:t>
      </w:r>
      <w:r>
        <w:rPr>
          <w:rFonts w:ascii="Times New Roman" w:hAnsi="Times New Roman"/>
          <w:sz w:val="24"/>
          <w:szCs w:val="24"/>
        </w:rPr>
        <w:t>457</w:t>
      </w:r>
      <w:r w:rsidRPr="00720D45">
        <w:rPr>
          <w:rFonts w:ascii="Times New Roman" w:hAnsi="Times New Roman"/>
          <w:sz w:val="24"/>
          <w:szCs w:val="24"/>
        </w:rPr>
        <w:t>)</w:t>
      </w:r>
      <w:r>
        <w:rPr>
          <w:rFonts w:ascii="Times New Roman" w:hAnsi="Times New Roman"/>
          <w:sz w:val="24"/>
          <w:szCs w:val="24"/>
        </w:rPr>
        <w:t>,</w:t>
      </w:r>
      <w:r w:rsidRPr="00720D45">
        <w:rPr>
          <w:rFonts w:ascii="Times New Roman" w:hAnsi="Times New Roman"/>
          <w:sz w:val="24"/>
          <w:szCs w:val="24"/>
        </w:rPr>
        <w:t xml:space="preserve"> </w:t>
      </w:r>
      <w:r>
        <w:rPr>
          <w:rFonts w:ascii="Times New Roman" w:hAnsi="Times New Roman"/>
          <w:sz w:val="24"/>
          <w:szCs w:val="24"/>
        </w:rPr>
        <w:t>объем бюджетных</w:t>
      </w:r>
      <w:r w:rsidRPr="00720D45">
        <w:rPr>
          <w:rFonts w:ascii="Times New Roman" w:hAnsi="Times New Roman"/>
          <w:sz w:val="24"/>
          <w:szCs w:val="24"/>
        </w:rPr>
        <w:t xml:space="preserve"> ассигновани</w:t>
      </w:r>
      <w:r>
        <w:rPr>
          <w:rFonts w:ascii="Times New Roman" w:hAnsi="Times New Roman"/>
          <w:sz w:val="24"/>
          <w:szCs w:val="24"/>
        </w:rPr>
        <w:t>й</w:t>
      </w:r>
      <w:r w:rsidRPr="00720D45">
        <w:rPr>
          <w:rFonts w:ascii="Times New Roman" w:hAnsi="Times New Roman"/>
          <w:sz w:val="24"/>
          <w:szCs w:val="24"/>
        </w:rPr>
        <w:t xml:space="preserve"> за счет средств </w:t>
      </w:r>
      <w:r>
        <w:rPr>
          <w:rFonts w:ascii="Times New Roman" w:hAnsi="Times New Roman"/>
          <w:sz w:val="24"/>
          <w:szCs w:val="24"/>
        </w:rPr>
        <w:t>областного бюджета</w:t>
      </w:r>
      <w:r w:rsidRPr="00720D45">
        <w:rPr>
          <w:rFonts w:ascii="Times New Roman" w:hAnsi="Times New Roman"/>
          <w:sz w:val="24"/>
          <w:szCs w:val="24"/>
        </w:rPr>
        <w:t xml:space="preserve"> </w:t>
      </w:r>
      <w:r>
        <w:rPr>
          <w:rFonts w:ascii="Times New Roman" w:hAnsi="Times New Roman"/>
          <w:sz w:val="24"/>
          <w:szCs w:val="24"/>
        </w:rPr>
        <w:t xml:space="preserve">предусмотрен </w:t>
      </w:r>
      <w:r w:rsidRPr="00720D45">
        <w:rPr>
          <w:rFonts w:ascii="Times New Roman" w:hAnsi="Times New Roman"/>
          <w:sz w:val="24"/>
          <w:szCs w:val="24"/>
        </w:rPr>
        <w:t>на 201</w:t>
      </w:r>
      <w:r>
        <w:rPr>
          <w:rFonts w:ascii="Times New Roman" w:hAnsi="Times New Roman"/>
          <w:sz w:val="24"/>
          <w:szCs w:val="24"/>
        </w:rPr>
        <w:t>8</w:t>
      </w:r>
      <w:r w:rsidRPr="00720D45">
        <w:rPr>
          <w:rFonts w:ascii="Times New Roman" w:hAnsi="Times New Roman"/>
          <w:sz w:val="24"/>
          <w:szCs w:val="24"/>
        </w:rPr>
        <w:t xml:space="preserve"> год </w:t>
      </w:r>
      <w:r>
        <w:rPr>
          <w:rFonts w:ascii="Times New Roman" w:hAnsi="Times New Roman"/>
          <w:sz w:val="24"/>
          <w:szCs w:val="24"/>
        </w:rPr>
        <w:t xml:space="preserve">в сумме 51836,8 тыс. рублей, </w:t>
      </w:r>
      <w:r w:rsidR="00BC12C0">
        <w:rPr>
          <w:rFonts w:ascii="Times New Roman" w:hAnsi="Times New Roman"/>
          <w:sz w:val="24"/>
          <w:szCs w:val="24"/>
        </w:rPr>
        <w:br/>
      </w:r>
      <w:r>
        <w:rPr>
          <w:rFonts w:ascii="Times New Roman" w:hAnsi="Times New Roman"/>
          <w:sz w:val="24"/>
          <w:szCs w:val="24"/>
        </w:rPr>
        <w:t xml:space="preserve">на </w:t>
      </w:r>
      <w:r w:rsidRPr="00720D45">
        <w:rPr>
          <w:rFonts w:ascii="Times New Roman" w:hAnsi="Times New Roman"/>
          <w:sz w:val="24"/>
          <w:szCs w:val="24"/>
        </w:rPr>
        <w:t>2019 год - 57291,</w:t>
      </w:r>
      <w:r>
        <w:rPr>
          <w:rFonts w:ascii="Times New Roman" w:hAnsi="Times New Roman"/>
          <w:sz w:val="24"/>
          <w:szCs w:val="24"/>
        </w:rPr>
        <w:t xml:space="preserve">2 тыс. рублей, на </w:t>
      </w:r>
      <w:r w:rsidRPr="00720D45">
        <w:rPr>
          <w:rFonts w:ascii="Times New Roman" w:hAnsi="Times New Roman"/>
          <w:sz w:val="24"/>
          <w:szCs w:val="24"/>
        </w:rPr>
        <w:t>2020 год - 57085,20 тыс. рублей.</w:t>
      </w:r>
    </w:p>
    <w:p w:rsidR="00E220E3"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пунктом 3 статьи 9 законопроекта </w:t>
      </w:r>
      <w:r w:rsidRPr="00095234">
        <w:rPr>
          <w:rFonts w:ascii="Times New Roman" w:hAnsi="Times New Roman"/>
          <w:sz w:val="24"/>
          <w:szCs w:val="24"/>
        </w:rPr>
        <w:t xml:space="preserve">общий объем бюджетных ассигнований, направляемых на исполнение публичных нормативных обязательств, </w:t>
      </w:r>
      <w:r w:rsidR="00BC12C0">
        <w:rPr>
          <w:rFonts w:ascii="Times New Roman" w:hAnsi="Times New Roman"/>
          <w:sz w:val="24"/>
          <w:szCs w:val="24"/>
        </w:rPr>
        <w:br/>
      </w:r>
      <w:r w:rsidRPr="00095234">
        <w:rPr>
          <w:rFonts w:ascii="Times New Roman" w:hAnsi="Times New Roman"/>
          <w:sz w:val="24"/>
          <w:szCs w:val="24"/>
        </w:rPr>
        <w:t xml:space="preserve">на 2018 год </w:t>
      </w:r>
      <w:r>
        <w:rPr>
          <w:rFonts w:ascii="Times New Roman" w:hAnsi="Times New Roman"/>
          <w:sz w:val="24"/>
          <w:szCs w:val="24"/>
        </w:rPr>
        <w:t>составляет</w:t>
      </w:r>
      <w:r w:rsidRPr="00095234">
        <w:rPr>
          <w:rFonts w:ascii="Times New Roman" w:hAnsi="Times New Roman"/>
          <w:sz w:val="24"/>
          <w:szCs w:val="24"/>
        </w:rPr>
        <w:t xml:space="preserve"> 1122429,6 тыс.</w:t>
      </w:r>
      <w:r>
        <w:rPr>
          <w:rFonts w:ascii="Times New Roman" w:hAnsi="Times New Roman"/>
          <w:sz w:val="24"/>
          <w:szCs w:val="24"/>
        </w:rPr>
        <w:t xml:space="preserve"> </w:t>
      </w:r>
      <w:r w:rsidRPr="00095234">
        <w:rPr>
          <w:rFonts w:ascii="Times New Roman" w:hAnsi="Times New Roman"/>
          <w:sz w:val="24"/>
          <w:szCs w:val="24"/>
        </w:rPr>
        <w:t>рублей</w:t>
      </w:r>
      <w:r>
        <w:rPr>
          <w:rFonts w:ascii="Times New Roman" w:hAnsi="Times New Roman"/>
          <w:sz w:val="24"/>
          <w:szCs w:val="24"/>
        </w:rPr>
        <w:t xml:space="preserve">, на </w:t>
      </w:r>
      <w:r w:rsidRPr="00095234">
        <w:rPr>
          <w:rFonts w:ascii="Times New Roman" w:hAnsi="Times New Roman"/>
          <w:sz w:val="24"/>
          <w:szCs w:val="24"/>
        </w:rPr>
        <w:t xml:space="preserve">2019 год </w:t>
      </w:r>
      <w:r>
        <w:rPr>
          <w:rFonts w:ascii="Times New Roman" w:hAnsi="Times New Roman"/>
          <w:sz w:val="24"/>
          <w:szCs w:val="24"/>
        </w:rPr>
        <w:t>-</w:t>
      </w:r>
      <w:r w:rsidRPr="00095234">
        <w:rPr>
          <w:rFonts w:ascii="Times New Roman" w:hAnsi="Times New Roman"/>
          <w:sz w:val="24"/>
          <w:szCs w:val="24"/>
        </w:rPr>
        <w:t xml:space="preserve"> 1411440,8 тыс.</w:t>
      </w:r>
      <w:r>
        <w:rPr>
          <w:rFonts w:ascii="Times New Roman" w:hAnsi="Times New Roman"/>
          <w:sz w:val="24"/>
          <w:szCs w:val="24"/>
        </w:rPr>
        <w:t xml:space="preserve"> </w:t>
      </w:r>
      <w:r w:rsidRPr="00095234">
        <w:rPr>
          <w:rFonts w:ascii="Times New Roman" w:hAnsi="Times New Roman"/>
          <w:sz w:val="24"/>
          <w:szCs w:val="24"/>
        </w:rPr>
        <w:t xml:space="preserve">рублей, </w:t>
      </w:r>
      <w:r w:rsidR="00BC12C0">
        <w:rPr>
          <w:rFonts w:ascii="Times New Roman" w:hAnsi="Times New Roman"/>
          <w:sz w:val="24"/>
          <w:szCs w:val="24"/>
        </w:rPr>
        <w:br/>
      </w:r>
      <w:r w:rsidRPr="00095234">
        <w:rPr>
          <w:rFonts w:ascii="Times New Roman" w:hAnsi="Times New Roman"/>
          <w:sz w:val="24"/>
          <w:szCs w:val="24"/>
        </w:rPr>
        <w:t xml:space="preserve">на 2020 год </w:t>
      </w:r>
      <w:r>
        <w:rPr>
          <w:rFonts w:ascii="Times New Roman" w:hAnsi="Times New Roman"/>
          <w:sz w:val="24"/>
          <w:szCs w:val="24"/>
        </w:rPr>
        <w:t>-</w:t>
      </w:r>
      <w:r w:rsidRPr="00095234">
        <w:rPr>
          <w:rFonts w:ascii="Times New Roman" w:hAnsi="Times New Roman"/>
          <w:sz w:val="24"/>
          <w:szCs w:val="24"/>
        </w:rPr>
        <w:t xml:space="preserve"> 1148440,4 тыс.</w:t>
      </w:r>
      <w:r>
        <w:rPr>
          <w:rFonts w:ascii="Times New Roman" w:hAnsi="Times New Roman"/>
          <w:sz w:val="24"/>
          <w:szCs w:val="24"/>
        </w:rPr>
        <w:t xml:space="preserve"> </w:t>
      </w:r>
      <w:r w:rsidRPr="00095234">
        <w:rPr>
          <w:rFonts w:ascii="Times New Roman" w:hAnsi="Times New Roman"/>
          <w:sz w:val="24"/>
          <w:szCs w:val="24"/>
        </w:rPr>
        <w:t>рублей</w:t>
      </w:r>
      <w:r>
        <w:rPr>
          <w:rFonts w:ascii="Times New Roman" w:hAnsi="Times New Roman"/>
          <w:sz w:val="24"/>
          <w:szCs w:val="24"/>
        </w:rPr>
        <w:t>.</w:t>
      </w:r>
    </w:p>
    <w:p w:rsidR="00E220E3"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составе документов к законопроекту представлен расчет </w:t>
      </w:r>
      <w:r w:rsidRPr="00095234">
        <w:rPr>
          <w:rFonts w:ascii="Times New Roman" w:hAnsi="Times New Roman"/>
          <w:sz w:val="24"/>
          <w:szCs w:val="24"/>
        </w:rPr>
        <w:t>объема ассигнований, направляемых на исполнение публичных нормативных обязательств</w:t>
      </w:r>
      <w:r>
        <w:rPr>
          <w:rFonts w:ascii="Times New Roman" w:hAnsi="Times New Roman"/>
          <w:sz w:val="24"/>
          <w:szCs w:val="24"/>
        </w:rPr>
        <w:t>.</w:t>
      </w:r>
    </w:p>
    <w:p w:rsidR="00E220E3"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Расчет объема </w:t>
      </w:r>
      <w:r w:rsidRPr="00095234">
        <w:rPr>
          <w:rFonts w:ascii="Times New Roman" w:hAnsi="Times New Roman"/>
          <w:sz w:val="24"/>
          <w:szCs w:val="24"/>
        </w:rPr>
        <w:t>ассигнований, направляемых на исполнение публичных нормативных обязательств</w:t>
      </w:r>
      <w:r>
        <w:rPr>
          <w:rFonts w:ascii="Times New Roman" w:hAnsi="Times New Roman"/>
          <w:sz w:val="24"/>
          <w:szCs w:val="24"/>
        </w:rPr>
        <w:t xml:space="preserve"> (далее – Расчет), произведен с учетом индексации с 1 декабря 2018 года, предусмотренной статьей 18 законопроекта, на 1,04 </w:t>
      </w:r>
      <w:r w:rsidRPr="001B5DD4">
        <w:rPr>
          <w:rFonts w:ascii="Times New Roman" w:hAnsi="Times New Roman"/>
          <w:sz w:val="24"/>
          <w:szCs w:val="24"/>
        </w:rPr>
        <w:t>к уровню 2017 года.</w:t>
      </w:r>
    </w:p>
    <w:p w:rsidR="00E220E3" w:rsidRDefault="00E220E3" w:rsidP="00E220E3">
      <w:pPr>
        <w:tabs>
          <w:tab w:val="left" w:pos="709"/>
        </w:tabs>
        <w:spacing w:after="0" w:line="240" w:lineRule="auto"/>
        <w:ind w:firstLine="709"/>
        <w:jc w:val="both"/>
        <w:rPr>
          <w:rFonts w:ascii="Times New Roman" w:hAnsi="Times New Roman"/>
          <w:sz w:val="24"/>
          <w:szCs w:val="24"/>
        </w:rPr>
      </w:pPr>
      <w:r>
        <w:rPr>
          <w:rFonts w:ascii="Times New Roman" w:hAnsi="Times New Roman"/>
          <w:b/>
          <w:i/>
          <w:sz w:val="24"/>
          <w:szCs w:val="24"/>
        </w:rPr>
        <w:t>Контрольно-счетная палата области отмечает, что в р</w:t>
      </w:r>
      <w:r w:rsidRPr="00033205">
        <w:rPr>
          <w:rFonts w:ascii="Times New Roman" w:hAnsi="Times New Roman"/>
          <w:b/>
          <w:i/>
          <w:sz w:val="24"/>
          <w:szCs w:val="24"/>
        </w:rPr>
        <w:t xml:space="preserve">асчет объема ассигнований, направляемых на исполнение публичных нормативных обязательств, </w:t>
      </w:r>
      <w:r>
        <w:rPr>
          <w:rFonts w:ascii="Times New Roman" w:hAnsi="Times New Roman"/>
          <w:b/>
          <w:i/>
          <w:sz w:val="24"/>
          <w:szCs w:val="24"/>
        </w:rPr>
        <w:t>не включена выплата единовременного социального</w:t>
      </w:r>
      <w:r w:rsidRPr="00033205">
        <w:rPr>
          <w:rFonts w:ascii="Times New Roman" w:hAnsi="Times New Roman"/>
          <w:b/>
          <w:i/>
          <w:sz w:val="24"/>
          <w:szCs w:val="24"/>
        </w:rPr>
        <w:t xml:space="preserve"> пособи</w:t>
      </w:r>
      <w:r>
        <w:rPr>
          <w:rFonts w:ascii="Times New Roman" w:hAnsi="Times New Roman"/>
          <w:b/>
          <w:i/>
          <w:sz w:val="24"/>
          <w:szCs w:val="24"/>
        </w:rPr>
        <w:t>я</w:t>
      </w:r>
      <w:r w:rsidRPr="00033205">
        <w:rPr>
          <w:rFonts w:ascii="Times New Roman" w:hAnsi="Times New Roman"/>
          <w:b/>
          <w:i/>
          <w:sz w:val="24"/>
          <w:szCs w:val="24"/>
        </w:rPr>
        <w:t xml:space="preserve"> работникам государственных учреждений культуры и государственных образовательных организаций в области культуры, предусмотренн</w:t>
      </w:r>
      <w:r>
        <w:rPr>
          <w:rFonts w:ascii="Times New Roman" w:hAnsi="Times New Roman"/>
          <w:b/>
          <w:i/>
          <w:sz w:val="24"/>
          <w:szCs w:val="24"/>
        </w:rPr>
        <w:t>ая</w:t>
      </w:r>
      <w:r w:rsidRPr="00033205">
        <w:rPr>
          <w:rFonts w:ascii="Times New Roman" w:hAnsi="Times New Roman"/>
          <w:b/>
          <w:i/>
          <w:sz w:val="24"/>
          <w:szCs w:val="24"/>
        </w:rPr>
        <w:t xml:space="preserve"> Законом Амурской области от 19.01.2005 № 413-ОЗ</w:t>
      </w:r>
      <w:r>
        <w:rPr>
          <w:rFonts w:ascii="Times New Roman" w:hAnsi="Times New Roman"/>
          <w:b/>
          <w:i/>
          <w:sz w:val="24"/>
          <w:szCs w:val="24"/>
        </w:rPr>
        <w:t xml:space="preserve">, относящаяся </w:t>
      </w:r>
      <w:r w:rsidR="00E46617">
        <w:rPr>
          <w:rFonts w:ascii="Times New Roman" w:hAnsi="Times New Roman"/>
          <w:b/>
          <w:i/>
          <w:sz w:val="24"/>
          <w:szCs w:val="24"/>
        </w:rPr>
        <w:t xml:space="preserve">к </w:t>
      </w:r>
      <w:r>
        <w:rPr>
          <w:rFonts w:ascii="Times New Roman" w:hAnsi="Times New Roman"/>
          <w:b/>
          <w:i/>
          <w:sz w:val="24"/>
          <w:szCs w:val="24"/>
        </w:rPr>
        <w:t>публичному нормативному обязательству</w:t>
      </w:r>
      <w:r w:rsidRPr="00033205">
        <w:rPr>
          <w:rFonts w:ascii="Times New Roman" w:hAnsi="Times New Roman"/>
          <w:b/>
          <w:i/>
          <w:sz w:val="24"/>
          <w:szCs w:val="24"/>
        </w:rPr>
        <w:t>.</w:t>
      </w:r>
      <w:r>
        <w:rPr>
          <w:rFonts w:ascii="Times New Roman" w:hAnsi="Times New Roman"/>
          <w:b/>
          <w:i/>
          <w:sz w:val="24"/>
          <w:szCs w:val="24"/>
        </w:rPr>
        <w:t xml:space="preserve"> </w:t>
      </w:r>
      <w:r w:rsidRPr="0051081F">
        <w:rPr>
          <w:rFonts w:ascii="Times New Roman" w:hAnsi="Times New Roman"/>
          <w:sz w:val="24"/>
          <w:szCs w:val="24"/>
        </w:rPr>
        <w:t>При этом согласно</w:t>
      </w:r>
      <w:r>
        <w:rPr>
          <w:rFonts w:ascii="Times New Roman" w:hAnsi="Times New Roman"/>
          <w:sz w:val="24"/>
          <w:szCs w:val="24"/>
        </w:rPr>
        <w:t xml:space="preserve"> статье 18 законопроекта, данная выплата подлежит индексации</w:t>
      </w:r>
      <w:r w:rsidRPr="007F28CE">
        <w:rPr>
          <w:rFonts w:ascii="Times New Roman" w:hAnsi="Times New Roman"/>
          <w:sz w:val="24"/>
          <w:szCs w:val="24"/>
        </w:rPr>
        <w:t xml:space="preserve"> </w:t>
      </w:r>
      <w:r w:rsidR="00EB717D">
        <w:rPr>
          <w:rFonts w:ascii="Times New Roman" w:hAnsi="Times New Roman"/>
          <w:sz w:val="24"/>
          <w:szCs w:val="24"/>
        </w:rPr>
        <w:t>с 1 декабря 2018 года.</w:t>
      </w:r>
    </w:p>
    <w:p w:rsidR="00E220E3" w:rsidRPr="009E290B" w:rsidRDefault="00E220E3" w:rsidP="00E220E3">
      <w:pPr>
        <w:tabs>
          <w:tab w:val="left" w:pos="709"/>
        </w:tabs>
        <w:spacing w:after="0" w:line="240" w:lineRule="auto"/>
        <w:ind w:firstLine="709"/>
        <w:jc w:val="both"/>
        <w:rPr>
          <w:rFonts w:ascii="Times New Roman" w:hAnsi="Times New Roman"/>
          <w:sz w:val="24"/>
          <w:szCs w:val="24"/>
        </w:rPr>
      </w:pPr>
      <w:r w:rsidRPr="009E290B">
        <w:rPr>
          <w:rFonts w:ascii="Times New Roman" w:hAnsi="Times New Roman"/>
          <w:sz w:val="24"/>
          <w:szCs w:val="24"/>
        </w:rPr>
        <w:t xml:space="preserve">Согласно </w:t>
      </w:r>
      <w:r>
        <w:rPr>
          <w:rFonts w:ascii="Times New Roman" w:hAnsi="Times New Roman"/>
          <w:sz w:val="24"/>
          <w:szCs w:val="24"/>
        </w:rPr>
        <w:t>Р</w:t>
      </w:r>
      <w:r w:rsidRPr="009E290B">
        <w:rPr>
          <w:rFonts w:ascii="Times New Roman" w:hAnsi="Times New Roman"/>
          <w:sz w:val="24"/>
          <w:szCs w:val="24"/>
        </w:rPr>
        <w:t>асчету, с учетом индексации на 4,0 процента определен объем средств, необходимый на предоставление ежемесячной денежной выплаты семьям в случае рождения после 31 декабря 2012 года третьего или последующего ребенка до достижения им возраста трех лет.</w:t>
      </w:r>
    </w:p>
    <w:p w:rsidR="00E220E3" w:rsidRPr="009E290B" w:rsidRDefault="00E220E3" w:rsidP="00E220E3">
      <w:pPr>
        <w:tabs>
          <w:tab w:val="left" w:pos="709"/>
        </w:tabs>
        <w:spacing w:after="0" w:line="240" w:lineRule="auto"/>
        <w:ind w:firstLine="709"/>
        <w:jc w:val="both"/>
        <w:rPr>
          <w:rFonts w:ascii="Times New Roman" w:hAnsi="Times New Roman"/>
          <w:sz w:val="24"/>
          <w:szCs w:val="24"/>
        </w:rPr>
      </w:pPr>
      <w:r w:rsidRPr="009E290B">
        <w:rPr>
          <w:rFonts w:ascii="Times New Roman" w:hAnsi="Times New Roman"/>
          <w:sz w:val="24"/>
          <w:szCs w:val="24"/>
        </w:rPr>
        <w:t xml:space="preserve">Пунктом 4 порядка предоставления ежемесячной денежной выплаты семьям, родившим (усыновившим) третьего или последующего ребенка, до достижения им возраста трех лет, утвержденного постановлением Правительства Амурской области </w:t>
      </w:r>
      <w:r w:rsidR="00BC12C0">
        <w:rPr>
          <w:rFonts w:ascii="Times New Roman" w:hAnsi="Times New Roman"/>
          <w:sz w:val="24"/>
          <w:szCs w:val="24"/>
        </w:rPr>
        <w:br/>
      </w:r>
      <w:r w:rsidRPr="009E290B">
        <w:rPr>
          <w:rFonts w:ascii="Times New Roman" w:hAnsi="Times New Roman"/>
          <w:sz w:val="24"/>
          <w:szCs w:val="24"/>
        </w:rPr>
        <w:t>от 28.06.2012 № 338 определено, что ежемесячная денежная выплата выплачивается в размере величины прожиточного минимума для детей, установленной постановлением губернатора области за третий квартал года, предшествующего году, в котором производится указанная выплата.</w:t>
      </w:r>
    </w:p>
    <w:p w:rsidR="00E220E3" w:rsidRPr="008E3E34" w:rsidRDefault="00E220E3" w:rsidP="00E220E3">
      <w:pPr>
        <w:tabs>
          <w:tab w:val="left" w:pos="709"/>
        </w:tabs>
        <w:spacing w:after="0" w:line="240" w:lineRule="auto"/>
        <w:ind w:firstLine="709"/>
        <w:jc w:val="both"/>
        <w:rPr>
          <w:rFonts w:ascii="Times New Roman" w:hAnsi="Times New Roman"/>
          <w:sz w:val="24"/>
          <w:szCs w:val="24"/>
        </w:rPr>
      </w:pPr>
      <w:r w:rsidRPr="008E3E34">
        <w:rPr>
          <w:rFonts w:ascii="Times New Roman" w:hAnsi="Times New Roman"/>
          <w:sz w:val="24"/>
          <w:szCs w:val="24"/>
        </w:rPr>
        <w:t xml:space="preserve">На момент подготовки настоящего заключения величина прожиточного минимума на душу населения и по основным социально-демографическим группам населения Амурской области за 3 квартал 2017 года постановлением </w:t>
      </w:r>
      <w:r w:rsidR="00E46617">
        <w:rPr>
          <w:rFonts w:ascii="Times New Roman" w:hAnsi="Times New Roman"/>
          <w:sz w:val="24"/>
          <w:szCs w:val="24"/>
        </w:rPr>
        <w:t xml:space="preserve">губернатора Амурской </w:t>
      </w:r>
      <w:r w:rsidRPr="008E3E34">
        <w:rPr>
          <w:rFonts w:ascii="Times New Roman" w:hAnsi="Times New Roman"/>
          <w:sz w:val="24"/>
          <w:szCs w:val="24"/>
        </w:rPr>
        <w:t>области не утверждена, в связи с чем, не представляется возможным провести оценку реалистичности объема средств, спроектированных на 2018 год на предоставление ежемесячной денежной выплаты семьям в случае рождения третьего или последующего ребенка до достижения им возраста трех лет.</w:t>
      </w:r>
    </w:p>
    <w:p w:rsidR="00E220E3" w:rsidRPr="00B22FCB" w:rsidRDefault="00E220E3" w:rsidP="00E220E3">
      <w:pPr>
        <w:tabs>
          <w:tab w:val="left" w:pos="709"/>
        </w:tabs>
        <w:spacing w:after="0" w:line="240" w:lineRule="auto"/>
        <w:ind w:firstLine="709"/>
        <w:jc w:val="both"/>
        <w:rPr>
          <w:rFonts w:ascii="Times New Roman" w:hAnsi="Times New Roman"/>
          <w:b/>
          <w:i/>
          <w:sz w:val="24"/>
          <w:szCs w:val="24"/>
        </w:rPr>
      </w:pPr>
      <w:r w:rsidRPr="00B22FCB">
        <w:rPr>
          <w:rFonts w:ascii="Times New Roman" w:hAnsi="Times New Roman"/>
          <w:sz w:val="24"/>
          <w:szCs w:val="24"/>
        </w:rPr>
        <w:t xml:space="preserve">В ходе проведения экспертизы проекта закона об областном бюджете на 2018 год и плановый период 2019 и 2020 годов </w:t>
      </w:r>
      <w:r w:rsidRPr="00B22FCB">
        <w:rPr>
          <w:rFonts w:ascii="Times New Roman" w:hAnsi="Times New Roman"/>
          <w:b/>
          <w:i/>
          <w:sz w:val="24"/>
          <w:szCs w:val="24"/>
        </w:rPr>
        <w:t xml:space="preserve">установлено несоответствие объемов бюджетных </w:t>
      </w:r>
      <w:r w:rsidRPr="00B22FCB">
        <w:rPr>
          <w:rFonts w:ascii="Times New Roman" w:hAnsi="Times New Roman"/>
          <w:b/>
          <w:i/>
          <w:sz w:val="24"/>
          <w:szCs w:val="24"/>
        </w:rPr>
        <w:lastRenderedPageBreak/>
        <w:t>ассигнований, направляемых на выплату</w:t>
      </w:r>
      <w:r w:rsidRPr="00B22FCB">
        <w:rPr>
          <w:b/>
          <w:i/>
        </w:rPr>
        <w:t xml:space="preserve"> </w:t>
      </w:r>
      <w:r w:rsidRPr="00B22FCB">
        <w:rPr>
          <w:rFonts w:ascii="Times New Roman" w:hAnsi="Times New Roman"/>
          <w:b/>
          <w:i/>
          <w:sz w:val="24"/>
          <w:szCs w:val="24"/>
        </w:rPr>
        <w:t>единовременных пособий и ежемесячных пособий молодым специалистам при поступлении на работу в сельскохозяйственную организацию либо областное государственное учреждение ветеринарии, определенных при расчете публичных нормативных обязательств, объемам ассигнований, отраженным в приложениях № 10 «Распределение бюджетных ассигнований по целевым статьям (государстве</w:t>
      </w:r>
      <w:r w:rsidR="00BC12C0">
        <w:rPr>
          <w:rFonts w:ascii="Times New Roman" w:hAnsi="Times New Roman"/>
          <w:b/>
          <w:i/>
          <w:sz w:val="24"/>
          <w:szCs w:val="24"/>
        </w:rPr>
        <w:t>нным программам и непрограммным</w:t>
      </w:r>
      <w:r w:rsidRPr="00B22FCB">
        <w:rPr>
          <w:rFonts w:ascii="Times New Roman" w:hAnsi="Times New Roman"/>
          <w:b/>
          <w:i/>
          <w:sz w:val="24"/>
          <w:szCs w:val="24"/>
        </w:rPr>
        <w:t xml:space="preserve"> направлениям деятельности), группам видов расходов классификации расходов областного бюджета на 201</w:t>
      </w:r>
      <w:r w:rsidR="00E46617">
        <w:rPr>
          <w:rFonts w:ascii="Times New Roman" w:hAnsi="Times New Roman"/>
          <w:b/>
          <w:i/>
          <w:sz w:val="24"/>
          <w:szCs w:val="24"/>
        </w:rPr>
        <w:t>8</w:t>
      </w:r>
      <w:r w:rsidRPr="00B22FCB">
        <w:rPr>
          <w:rFonts w:ascii="Times New Roman" w:hAnsi="Times New Roman"/>
          <w:b/>
          <w:i/>
          <w:sz w:val="24"/>
          <w:szCs w:val="24"/>
        </w:rPr>
        <w:t xml:space="preserve"> год и плановый период 201</w:t>
      </w:r>
      <w:r w:rsidR="00E46617">
        <w:rPr>
          <w:rFonts w:ascii="Times New Roman" w:hAnsi="Times New Roman"/>
          <w:b/>
          <w:i/>
          <w:sz w:val="24"/>
          <w:szCs w:val="24"/>
        </w:rPr>
        <w:t>9</w:t>
      </w:r>
      <w:r w:rsidRPr="00B22FCB">
        <w:rPr>
          <w:rFonts w:ascii="Times New Roman" w:hAnsi="Times New Roman"/>
          <w:b/>
          <w:i/>
          <w:sz w:val="24"/>
          <w:szCs w:val="24"/>
        </w:rPr>
        <w:t xml:space="preserve"> и 20</w:t>
      </w:r>
      <w:r w:rsidR="00E46617">
        <w:rPr>
          <w:rFonts w:ascii="Times New Roman" w:hAnsi="Times New Roman"/>
          <w:b/>
          <w:i/>
          <w:sz w:val="24"/>
          <w:szCs w:val="24"/>
        </w:rPr>
        <w:t>20</w:t>
      </w:r>
      <w:r w:rsidRPr="00B22FCB">
        <w:rPr>
          <w:rFonts w:ascii="Times New Roman" w:hAnsi="Times New Roman"/>
          <w:b/>
          <w:i/>
          <w:sz w:val="24"/>
          <w:szCs w:val="24"/>
        </w:rPr>
        <w:t xml:space="preserve"> годов» и № 11 «Ведомственная структура расходов областного бюджета на 201</w:t>
      </w:r>
      <w:r w:rsidR="00E46617">
        <w:rPr>
          <w:rFonts w:ascii="Times New Roman" w:hAnsi="Times New Roman"/>
          <w:b/>
          <w:i/>
          <w:sz w:val="24"/>
          <w:szCs w:val="24"/>
        </w:rPr>
        <w:t>8</w:t>
      </w:r>
      <w:r w:rsidRPr="00B22FCB">
        <w:rPr>
          <w:rFonts w:ascii="Times New Roman" w:hAnsi="Times New Roman"/>
          <w:b/>
          <w:i/>
          <w:sz w:val="24"/>
          <w:szCs w:val="24"/>
        </w:rPr>
        <w:t xml:space="preserve"> год и плановый период 201</w:t>
      </w:r>
      <w:r w:rsidR="00E46617">
        <w:rPr>
          <w:rFonts w:ascii="Times New Roman" w:hAnsi="Times New Roman"/>
          <w:b/>
          <w:i/>
          <w:sz w:val="24"/>
          <w:szCs w:val="24"/>
        </w:rPr>
        <w:t>9</w:t>
      </w:r>
      <w:r w:rsidR="00BC12C0">
        <w:rPr>
          <w:rFonts w:ascii="Times New Roman" w:hAnsi="Times New Roman"/>
          <w:b/>
          <w:i/>
          <w:sz w:val="24"/>
          <w:szCs w:val="24"/>
        </w:rPr>
        <w:t xml:space="preserve"> и 20</w:t>
      </w:r>
      <w:r w:rsidR="00E46617">
        <w:rPr>
          <w:rFonts w:ascii="Times New Roman" w:hAnsi="Times New Roman"/>
          <w:b/>
          <w:i/>
          <w:sz w:val="24"/>
          <w:szCs w:val="24"/>
        </w:rPr>
        <w:t>20</w:t>
      </w:r>
      <w:r w:rsidR="00BC12C0">
        <w:rPr>
          <w:rFonts w:ascii="Times New Roman" w:hAnsi="Times New Roman"/>
          <w:b/>
          <w:i/>
          <w:sz w:val="24"/>
          <w:szCs w:val="24"/>
        </w:rPr>
        <w:t xml:space="preserve"> годов» к законопроекту.</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w:t>
      </w:r>
      <w:r w:rsidR="00E220E3" w:rsidRPr="00B22FCB">
        <w:rPr>
          <w:rFonts w:ascii="Times New Roman" w:hAnsi="Times New Roman"/>
          <w:sz w:val="24"/>
          <w:szCs w:val="24"/>
        </w:rPr>
        <w:t xml:space="preserve">огласно Расчету объем средств на исполнение публичных нормативных обязательств, установленных Законом Амурской области от 03.02.2004 № 298-ОЗ «О государственной поддержке кадрового потенциала агропромышленного комплекса Амурской области», </w:t>
      </w:r>
      <w:r w:rsidR="00E220E3">
        <w:rPr>
          <w:rFonts w:ascii="Times New Roman" w:hAnsi="Times New Roman"/>
          <w:sz w:val="24"/>
          <w:szCs w:val="24"/>
        </w:rPr>
        <w:t>в части выплаты пособий</w:t>
      </w:r>
      <w:r w:rsidR="00E220E3" w:rsidRPr="00B22FCB">
        <w:rPr>
          <w:rFonts w:ascii="Times New Roman" w:hAnsi="Times New Roman"/>
          <w:sz w:val="24"/>
          <w:szCs w:val="24"/>
        </w:rPr>
        <w:t xml:space="preserve"> специалистам при поступлении на работу в сельскохозяйственную организацию либо областное государственное учреждение ветеринарии составляет:</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 xml:space="preserve">на выплату единовременных пособий </w:t>
      </w:r>
      <w:r w:rsidR="00E220E3">
        <w:rPr>
          <w:rFonts w:ascii="Times New Roman" w:hAnsi="Times New Roman"/>
          <w:sz w:val="24"/>
          <w:szCs w:val="24"/>
        </w:rPr>
        <w:t xml:space="preserve">на 2018 год </w:t>
      </w:r>
      <w:r w:rsidR="00E220E3" w:rsidRPr="00B22FCB">
        <w:rPr>
          <w:rFonts w:ascii="Times New Roman" w:hAnsi="Times New Roman"/>
          <w:sz w:val="24"/>
          <w:szCs w:val="24"/>
        </w:rPr>
        <w:t>в сумме 4500,0 тыс. рублей</w:t>
      </w:r>
      <w:r>
        <w:rPr>
          <w:rFonts w:ascii="Times New Roman" w:hAnsi="Times New Roman"/>
          <w:sz w:val="24"/>
          <w:szCs w:val="24"/>
        </w:rPr>
        <w:t>,</w:t>
      </w:r>
      <w:r w:rsidR="00E220E3">
        <w:rPr>
          <w:rFonts w:ascii="Times New Roman" w:hAnsi="Times New Roman"/>
          <w:sz w:val="24"/>
          <w:szCs w:val="24"/>
        </w:rPr>
        <w:t xml:space="preserve"> на 2019 год в сумме 6300,0 тыс. рублей, на 2020 год в сумме 6000,0 тыс. рублей</w:t>
      </w:r>
      <w:r w:rsidR="00E220E3" w:rsidRPr="00B22FCB">
        <w:rPr>
          <w:rFonts w:ascii="Times New Roman" w:hAnsi="Times New Roman"/>
          <w:sz w:val="24"/>
          <w:szCs w:val="24"/>
        </w:rPr>
        <w:t>;</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 xml:space="preserve">на выплату ежемесячных пособий </w:t>
      </w:r>
      <w:r w:rsidR="00E220E3">
        <w:rPr>
          <w:rFonts w:ascii="Times New Roman" w:hAnsi="Times New Roman"/>
          <w:sz w:val="24"/>
          <w:szCs w:val="24"/>
        </w:rPr>
        <w:t xml:space="preserve">на 2018 год </w:t>
      </w:r>
      <w:r w:rsidR="00E220E3" w:rsidRPr="00B22FCB">
        <w:rPr>
          <w:rFonts w:ascii="Times New Roman" w:hAnsi="Times New Roman"/>
          <w:sz w:val="24"/>
          <w:szCs w:val="24"/>
        </w:rPr>
        <w:t>в сумме 3556,3 тыс. рублей</w:t>
      </w:r>
      <w:r w:rsidR="00E220E3">
        <w:rPr>
          <w:rFonts w:ascii="Times New Roman" w:hAnsi="Times New Roman"/>
          <w:sz w:val="24"/>
          <w:szCs w:val="24"/>
        </w:rPr>
        <w:t xml:space="preserve">, </w:t>
      </w:r>
      <w:r>
        <w:rPr>
          <w:rFonts w:ascii="Times New Roman" w:hAnsi="Times New Roman"/>
          <w:sz w:val="24"/>
          <w:szCs w:val="24"/>
        </w:rPr>
        <w:br/>
      </w:r>
      <w:r w:rsidR="00E220E3">
        <w:rPr>
          <w:rFonts w:ascii="Times New Roman" w:hAnsi="Times New Roman"/>
          <w:sz w:val="24"/>
          <w:szCs w:val="24"/>
        </w:rPr>
        <w:t>на 2019 год в сумме 5806,1 тыс. рублей, на 2020 год в сумме 5345,7 тыс. рублей</w:t>
      </w:r>
      <w:r w:rsidR="00E220E3" w:rsidRPr="00B22FCB">
        <w:rPr>
          <w:rFonts w:ascii="Times New Roman" w:hAnsi="Times New Roman"/>
          <w:sz w:val="24"/>
          <w:szCs w:val="24"/>
        </w:rPr>
        <w:t>.</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E220E3" w:rsidRPr="00B22FCB">
        <w:rPr>
          <w:rFonts w:ascii="Times New Roman" w:hAnsi="Times New Roman"/>
          <w:sz w:val="24"/>
          <w:szCs w:val="24"/>
        </w:rPr>
        <w:t xml:space="preserve"> приложениях № 10 и № 11</w:t>
      </w:r>
      <w:r>
        <w:rPr>
          <w:rFonts w:ascii="Times New Roman" w:hAnsi="Times New Roman"/>
          <w:sz w:val="24"/>
          <w:szCs w:val="24"/>
        </w:rPr>
        <w:t xml:space="preserve"> законопроекта</w:t>
      </w:r>
      <w:r w:rsidR="00E220E3" w:rsidRPr="00B22FCB">
        <w:rPr>
          <w:rFonts w:ascii="Times New Roman" w:hAnsi="Times New Roman"/>
          <w:sz w:val="24"/>
          <w:szCs w:val="24"/>
        </w:rPr>
        <w:t xml:space="preserve"> средства предусмотрены:</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 xml:space="preserve">на выплату единовременных пособий </w:t>
      </w:r>
      <w:r w:rsidR="00E220E3">
        <w:rPr>
          <w:rFonts w:ascii="Times New Roman" w:hAnsi="Times New Roman"/>
          <w:sz w:val="24"/>
          <w:szCs w:val="24"/>
        </w:rPr>
        <w:t xml:space="preserve">на 2018 год </w:t>
      </w:r>
      <w:r w:rsidR="00E220E3" w:rsidRPr="00B22FCB">
        <w:rPr>
          <w:rFonts w:ascii="Times New Roman" w:hAnsi="Times New Roman"/>
          <w:sz w:val="24"/>
          <w:szCs w:val="24"/>
        </w:rPr>
        <w:t>в сумме 33</w:t>
      </w:r>
      <w:r w:rsidR="00E220E3">
        <w:rPr>
          <w:rFonts w:ascii="Times New Roman" w:hAnsi="Times New Roman"/>
          <w:sz w:val="24"/>
          <w:szCs w:val="24"/>
        </w:rPr>
        <w:t>3</w:t>
      </w:r>
      <w:r w:rsidR="00E220E3" w:rsidRPr="00B22FCB">
        <w:rPr>
          <w:rFonts w:ascii="Times New Roman" w:hAnsi="Times New Roman"/>
          <w:sz w:val="24"/>
          <w:szCs w:val="24"/>
        </w:rPr>
        <w:t>0,8 тыс. рублей</w:t>
      </w:r>
      <w:r w:rsidR="00E220E3">
        <w:rPr>
          <w:rFonts w:ascii="Times New Roman" w:hAnsi="Times New Roman"/>
          <w:sz w:val="24"/>
          <w:szCs w:val="24"/>
        </w:rPr>
        <w:t xml:space="preserve">, </w:t>
      </w:r>
      <w:r w:rsidR="00E220E3" w:rsidRPr="007C753A">
        <w:rPr>
          <w:rFonts w:ascii="Times New Roman" w:hAnsi="Times New Roman"/>
          <w:sz w:val="24"/>
          <w:szCs w:val="24"/>
        </w:rPr>
        <w:t>на 2019 год в сумме 5736,9 тыс. рублей, на 2020 год в сумме 5179,8 тыс. рублей;</w:t>
      </w:r>
    </w:p>
    <w:p w:rsidR="00E220E3"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 xml:space="preserve">на выплату ежемесячных пособий </w:t>
      </w:r>
      <w:r w:rsidR="00E220E3">
        <w:rPr>
          <w:rFonts w:ascii="Times New Roman" w:hAnsi="Times New Roman"/>
          <w:sz w:val="24"/>
          <w:szCs w:val="24"/>
        </w:rPr>
        <w:t xml:space="preserve">на 2018 год </w:t>
      </w:r>
      <w:r w:rsidR="00E220E3" w:rsidRPr="00B22FCB">
        <w:rPr>
          <w:rFonts w:ascii="Times New Roman" w:hAnsi="Times New Roman"/>
          <w:sz w:val="24"/>
          <w:szCs w:val="24"/>
        </w:rPr>
        <w:t>в сумме 4725,5 тыс. рублей</w:t>
      </w:r>
      <w:r w:rsidR="00E220E3">
        <w:rPr>
          <w:rFonts w:ascii="Times New Roman" w:hAnsi="Times New Roman"/>
          <w:sz w:val="24"/>
          <w:szCs w:val="24"/>
        </w:rPr>
        <w:t>, на 2019 год в сумме 6369,2 тыс. рублей, на 2020 год в сумме 6166,0 тыс. рублей</w:t>
      </w:r>
      <w:r w:rsidR="00E220E3" w:rsidRPr="00B22FCB">
        <w:rPr>
          <w:rFonts w:ascii="Times New Roman" w:hAnsi="Times New Roman"/>
          <w:sz w:val="24"/>
          <w:szCs w:val="24"/>
        </w:rPr>
        <w:t>.</w:t>
      </w:r>
    </w:p>
    <w:p w:rsidR="00E220E3" w:rsidRPr="00B22FCB" w:rsidRDefault="00E220E3" w:rsidP="00E220E3">
      <w:pPr>
        <w:tabs>
          <w:tab w:val="left" w:pos="709"/>
        </w:tabs>
        <w:spacing w:after="0" w:line="240" w:lineRule="auto"/>
        <w:ind w:firstLine="709"/>
        <w:jc w:val="both"/>
        <w:rPr>
          <w:rFonts w:ascii="Times New Roman" w:hAnsi="Times New Roman"/>
          <w:sz w:val="24"/>
          <w:szCs w:val="24"/>
        </w:rPr>
      </w:pPr>
    </w:p>
    <w:p w:rsidR="00E220E3" w:rsidRPr="00B22FCB" w:rsidRDefault="00E220E3" w:rsidP="00E220E3">
      <w:pPr>
        <w:tabs>
          <w:tab w:val="left" w:pos="709"/>
        </w:tabs>
        <w:spacing w:after="0" w:line="240" w:lineRule="auto"/>
        <w:ind w:firstLine="709"/>
        <w:jc w:val="both"/>
        <w:rPr>
          <w:rFonts w:ascii="Times New Roman" w:hAnsi="Times New Roman"/>
          <w:sz w:val="24"/>
          <w:szCs w:val="24"/>
        </w:rPr>
      </w:pPr>
      <w:r w:rsidRPr="00B22FCB">
        <w:rPr>
          <w:rFonts w:ascii="Times New Roman" w:hAnsi="Times New Roman"/>
          <w:sz w:val="24"/>
          <w:szCs w:val="24"/>
        </w:rPr>
        <w:t>Контрольно-счетная палата отмечает, что согласно Расчету объем ассигнований на исполнение публичных нормативных обязательств, предусмотренных законопроектом, составляет на 2018 год – 69,4 процента годовой потребности, на 2019 год – 84,6 процентов годовой потребности, на 2020 год – 69,1 процента годовой потребности.</w:t>
      </w:r>
    </w:p>
    <w:p w:rsidR="00E220E3" w:rsidRPr="00B22FCB" w:rsidRDefault="00E220E3" w:rsidP="00E220E3">
      <w:pPr>
        <w:tabs>
          <w:tab w:val="left" w:pos="709"/>
        </w:tabs>
        <w:spacing w:after="0" w:line="240" w:lineRule="auto"/>
        <w:ind w:firstLine="709"/>
        <w:jc w:val="both"/>
        <w:rPr>
          <w:rFonts w:ascii="Times New Roman" w:hAnsi="Times New Roman"/>
          <w:sz w:val="24"/>
          <w:szCs w:val="24"/>
        </w:rPr>
      </w:pPr>
      <w:r w:rsidRPr="00B22FCB">
        <w:rPr>
          <w:rFonts w:ascii="Times New Roman" w:hAnsi="Times New Roman"/>
          <w:sz w:val="24"/>
          <w:szCs w:val="24"/>
        </w:rPr>
        <w:t>Недостаток бюджетных ассигнований, направляемых на исполнение публичных нормативных обязательств, исходя из численности получателей, применяемой при формировании проекта областного бюджета на 201</w:t>
      </w:r>
      <w:r>
        <w:rPr>
          <w:rFonts w:ascii="Times New Roman" w:hAnsi="Times New Roman"/>
          <w:sz w:val="24"/>
          <w:szCs w:val="24"/>
        </w:rPr>
        <w:t>8</w:t>
      </w:r>
      <w:r w:rsidRPr="00B22FCB">
        <w:rPr>
          <w:rFonts w:ascii="Times New Roman" w:hAnsi="Times New Roman"/>
          <w:sz w:val="24"/>
          <w:szCs w:val="24"/>
        </w:rPr>
        <w:t xml:space="preserve"> год и плановый период 201</w:t>
      </w:r>
      <w:r>
        <w:rPr>
          <w:rFonts w:ascii="Times New Roman" w:hAnsi="Times New Roman"/>
          <w:sz w:val="24"/>
          <w:szCs w:val="24"/>
        </w:rPr>
        <w:t>9</w:t>
      </w:r>
      <w:r w:rsidRPr="00B22FCB">
        <w:rPr>
          <w:rFonts w:ascii="Times New Roman" w:hAnsi="Times New Roman"/>
          <w:sz w:val="24"/>
          <w:szCs w:val="24"/>
        </w:rPr>
        <w:t xml:space="preserve"> и </w:t>
      </w:r>
      <w:r w:rsidR="00BC12C0">
        <w:rPr>
          <w:rFonts w:ascii="Times New Roman" w:hAnsi="Times New Roman"/>
          <w:sz w:val="24"/>
          <w:szCs w:val="24"/>
        </w:rPr>
        <w:br/>
      </w:r>
      <w:r w:rsidRPr="00B22FCB">
        <w:rPr>
          <w:rFonts w:ascii="Times New Roman" w:hAnsi="Times New Roman"/>
          <w:sz w:val="24"/>
          <w:szCs w:val="24"/>
        </w:rPr>
        <w:t>20</w:t>
      </w:r>
      <w:r>
        <w:rPr>
          <w:rFonts w:ascii="Times New Roman" w:hAnsi="Times New Roman"/>
          <w:sz w:val="24"/>
          <w:szCs w:val="24"/>
        </w:rPr>
        <w:t>20</w:t>
      </w:r>
      <w:r w:rsidRPr="00B22FCB">
        <w:rPr>
          <w:rFonts w:ascii="Times New Roman" w:hAnsi="Times New Roman"/>
          <w:sz w:val="24"/>
          <w:szCs w:val="24"/>
        </w:rPr>
        <w:t xml:space="preserve"> годов, составляет:</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на 2018 год – 495118,6 тыс. рублей;</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на 2019 год – 249253,6 тыс. рублей;</w:t>
      </w:r>
    </w:p>
    <w:p w:rsidR="00E220E3" w:rsidRPr="00B22FCB" w:rsidRDefault="00BC12C0" w:rsidP="00E220E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00E220E3" w:rsidRPr="00B22FCB">
        <w:rPr>
          <w:rFonts w:ascii="Times New Roman" w:hAnsi="Times New Roman"/>
          <w:sz w:val="24"/>
          <w:szCs w:val="24"/>
        </w:rPr>
        <w:t>на 2020 год – 514438,0 тыс. рублей.</w:t>
      </w:r>
    </w:p>
    <w:p w:rsidR="00E220E3" w:rsidRPr="002E53AD" w:rsidRDefault="00E220E3" w:rsidP="00E220E3">
      <w:pPr>
        <w:tabs>
          <w:tab w:val="left" w:pos="709"/>
        </w:tabs>
        <w:spacing w:after="0" w:line="240" w:lineRule="auto"/>
        <w:jc w:val="both"/>
        <w:rPr>
          <w:rFonts w:ascii="Times New Roman" w:hAnsi="Times New Roman"/>
          <w:sz w:val="24"/>
          <w:szCs w:val="24"/>
        </w:rPr>
      </w:pPr>
      <w:r>
        <w:rPr>
          <w:rFonts w:ascii="Times New Roman" w:hAnsi="Times New Roman"/>
          <w:color w:val="4F81BD" w:themeColor="accent1"/>
          <w:sz w:val="24"/>
          <w:szCs w:val="24"/>
        </w:rPr>
        <w:tab/>
      </w:r>
      <w:r w:rsidRPr="002E53AD">
        <w:rPr>
          <w:rFonts w:ascii="Times New Roman" w:hAnsi="Times New Roman"/>
          <w:sz w:val="24"/>
          <w:szCs w:val="24"/>
        </w:rPr>
        <w:t>К проекту закона представлено приложение № 12, устанавливающее бюджетные ассигнования на государственную поддержку семьи и детей на очередной финансовый год и плановый период (далее – Приложение). Данное Приложение формируется в целях консолидации указанных расходов, содержащихся в разных государственных программах области, в едином документе, а также обеспечения их прозрачности.</w:t>
      </w:r>
    </w:p>
    <w:p w:rsidR="00E220E3" w:rsidRPr="00216F72" w:rsidRDefault="00E220E3" w:rsidP="00E220E3">
      <w:pPr>
        <w:tabs>
          <w:tab w:val="left" w:pos="709"/>
        </w:tabs>
        <w:spacing w:after="0" w:line="240" w:lineRule="auto"/>
        <w:ind w:firstLine="709"/>
        <w:jc w:val="both"/>
        <w:rPr>
          <w:rFonts w:ascii="Times New Roman" w:hAnsi="Times New Roman"/>
          <w:sz w:val="24"/>
          <w:szCs w:val="24"/>
        </w:rPr>
      </w:pPr>
      <w:r w:rsidRPr="00216F72">
        <w:rPr>
          <w:rFonts w:ascii="Times New Roman" w:hAnsi="Times New Roman"/>
          <w:sz w:val="24"/>
          <w:szCs w:val="24"/>
        </w:rPr>
        <w:t xml:space="preserve">Общий объем бюджетных ассигнований на государственную поддержку семьи и детей, согласно Приложению, определен на 2018 год в сумме 2302142,4 тыс. рублей, </w:t>
      </w:r>
      <w:r w:rsidR="00462C8E">
        <w:rPr>
          <w:rFonts w:ascii="Times New Roman" w:hAnsi="Times New Roman"/>
          <w:sz w:val="24"/>
          <w:szCs w:val="24"/>
        </w:rPr>
        <w:br/>
      </w:r>
      <w:r w:rsidRPr="00216F72">
        <w:rPr>
          <w:rFonts w:ascii="Times New Roman" w:hAnsi="Times New Roman"/>
          <w:sz w:val="24"/>
          <w:szCs w:val="24"/>
        </w:rPr>
        <w:t>на 2019 год в сумме 2622836,0 тыс. рублей, на 2020 год в сумме 2328480,3 тыс. рублей.</w:t>
      </w:r>
    </w:p>
    <w:p w:rsidR="00E220E3" w:rsidRPr="00216F72" w:rsidRDefault="00E220E3" w:rsidP="00E220E3">
      <w:pPr>
        <w:tabs>
          <w:tab w:val="left" w:pos="709"/>
        </w:tabs>
        <w:spacing w:after="0" w:line="240" w:lineRule="auto"/>
        <w:ind w:firstLine="709"/>
        <w:jc w:val="both"/>
        <w:rPr>
          <w:rFonts w:ascii="Times New Roman" w:hAnsi="Times New Roman"/>
          <w:sz w:val="24"/>
          <w:szCs w:val="24"/>
        </w:rPr>
      </w:pPr>
      <w:r w:rsidRPr="00216F72">
        <w:rPr>
          <w:rFonts w:ascii="Times New Roman" w:hAnsi="Times New Roman"/>
          <w:sz w:val="24"/>
          <w:szCs w:val="24"/>
        </w:rPr>
        <w:t>Приложением консолидируются расходы на реализацию программных мероприятий, направленных на государственную поддержку семьи и детей, содержащихся в трех государственных программах Амурской области:</w:t>
      </w:r>
    </w:p>
    <w:p w:rsidR="00E220E3" w:rsidRPr="00EB717D" w:rsidRDefault="00E220E3" w:rsidP="00EB717D">
      <w:pPr>
        <w:pStyle w:val="a4"/>
        <w:numPr>
          <w:ilvl w:val="0"/>
          <w:numId w:val="10"/>
        </w:numPr>
        <w:tabs>
          <w:tab w:val="left" w:pos="0"/>
          <w:tab w:val="left" w:pos="851"/>
        </w:tabs>
        <w:spacing w:after="0" w:line="240" w:lineRule="auto"/>
        <w:ind w:left="0" w:firstLine="709"/>
        <w:jc w:val="both"/>
        <w:rPr>
          <w:rFonts w:ascii="Times New Roman" w:hAnsi="Times New Roman"/>
          <w:sz w:val="24"/>
          <w:szCs w:val="24"/>
        </w:rPr>
      </w:pPr>
      <w:r w:rsidRPr="00EB717D">
        <w:rPr>
          <w:rFonts w:ascii="Times New Roman" w:hAnsi="Times New Roman"/>
          <w:sz w:val="24"/>
          <w:szCs w:val="24"/>
        </w:rPr>
        <w:t xml:space="preserve">«Развитие системы социальной защиты населения Амурской области </w:t>
      </w:r>
      <w:r w:rsidR="00EB717D">
        <w:rPr>
          <w:rFonts w:ascii="Times New Roman" w:hAnsi="Times New Roman"/>
          <w:sz w:val="24"/>
          <w:szCs w:val="24"/>
        </w:rPr>
        <w:br/>
      </w:r>
      <w:r w:rsidRPr="00EB717D">
        <w:rPr>
          <w:rFonts w:ascii="Times New Roman" w:hAnsi="Times New Roman"/>
          <w:sz w:val="24"/>
          <w:szCs w:val="24"/>
        </w:rPr>
        <w:t>на 2014-2020 г.г.»;</w:t>
      </w:r>
    </w:p>
    <w:p w:rsidR="00E220E3" w:rsidRPr="00EB717D" w:rsidRDefault="00E220E3" w:rsidP="00EB717D">
      <w:pPr>
        <w:pStyle w:val="a4"/>
        <w:numPr>
          <w:ilvl w:val="0"/>
          <w:numId w:val="10"/>
        </w:numPr>
        <w:tabs>
          <w:tab w:val="left" w:pos="0"/>
          <w:tab w:val="left" w:pos="851"/>
        </w:tabs>
        <w:spacing w:after="0" w:line="240" w:lineRule="auto"/>
        <w:ind w:left="0" w:firstLine="709"/>
        <w:jc w:val="both"/>
        <w:rPr>
          <w:rFonts w:ascii="Times New Roman" w:hAnsi="Times New Roman"/>
          <w:sz w:val="24"/>
          <w:szCs w:val="24"/>
        </w:rPr>
      </w:pPr>
      <w:r w:rsidRPr="00EB717D">
        <w:rPr>
          <w:rFonts w:ascii="Times New Roman" w:hAnsi="Times New Roman"/>
          <w:sz w:val="24"/>
          <w:szCs w:val="24"/>
        </w:rPr>
        <w:t>«Развитие образования Амурской области на 2014-2020 годы»;</w:t>
      </w:r>
    </w:p>
    <w:p w:rsidR="00E220E3" w:rsidRPr="00EB717D" w:rsidRDefault="00E220E3" w:rsidP="00EB717D">
      <w:pPr>
        <w:pStyle w:val="a4"/>
        <w:numPr>
          <w:ilvl w:val="0"/>
          <w:numId w:val="10"/>
        </w:numPr>
        <w:tabs>
          <w:tab w:val="left" w:pos="0"/>
          <w:tab w:val="left" w:pos="851"/>
        </w:tabs>
        <w:spacing w:after="0" w:line="240" w:lineRule="auto"/>
        <w:ind w:left="0" w:firstLine="709"/>
        <w:jc w:val="both"/>
        <w:rPr>
          <w:rFonts w:ascii="Times New Roman" w:hAnsi="Times New Roman"/>
          <w:sz w:val="24"/>
          <w:szCs w:val="24"/>
        </w:rPr>
      </w:pPr>
      <w:r w:rsidRPr="00EB717D">
        <w:rPr>
          <w:rFonts w:ascii="Times New Roman" w:hAnsi="Times New Roman"/>
          <w:sz w:val="24"/>
          <w:szCs w:val="24"/>
        </w:rPr>
        <w:t xml:space="preserve">«Обеспечение доступным и качественным жильем населения Амурской области на </w:t>
      </w:r>
      <w:r w:rsidR="00E46617" w:rsidRPr="00EB717D">
        <w:rPr>
          <w:rFonts w:ascii="Times New Roman" w:hAnsi="Times New Roman"/>
          <w:sz w:val="24"/>
          <w:szCs w:val="24"/>
        </w:rPr>
        <w:br/>
      </w:r>
      <w:r w:rsidRPr="00EB717D">
        <w:rPr>
          <w:rFonts w:ascii="Times New Roman" w:hAnsi="Times New Roman"/>
          <w:sz w:val="24"/>
          <w:szCs w:val="24"/>
        </w:rPr>
        <w:t>2014-2020 годы».</w:t>
      </w:r>
    </w:p>
    <w:p w:rsidR="00E220E3" w:rsidRPr="00EB717D" w:rsidRDefault="00462C8E" w:rsidP="00E220E3">
      <w:pPr>
        <w:tabs>
          <w:tab w:val="left" w:pos="709"/>
        </w:tabs>
        <w:spacing w:after="0" w:line="240" w:lineRule="auto"/>
        <w:ind w:firstLine="709"/>
        <w:jc w:val="both"/>
        <w:rPr>
          <w:rFonts w:ascii="Times New Roman" w:hAnsi="Times New Roman"/>
          <w:b/>
          <w:i/>
          <w:sz w:val="24"/>
          <w:szCs w:val="24"/>
        </w:rPr>
      </w:pPr>
      <w:r w:rsidRPr="00462C8E">
        <w:rPr>
          <w:rFonts w:ascii="Times New Roman" w:hAnsi="Times New Roman"/>
          <w:b/>
          <w:i/>
          <w:sz w:val="24"/>
          <w:szCs w:val="24"/>
        </w:rPr>
        <w:lastRenderedPageBreak/>
        <w:t>А</w:t>
      </w:r>
      <w:r w:rsidR="00E220E3" w:rsidRPr="00CA750A">
        <w:rPr>
          <w:rFonts w:ascii="Times New Roman" w:hAnsi="Times New Roman"/>
          <w:b/>
          <w:i/>
          <w:sz w:val="24"/>
          <w:szCs w:val="24"/>
        </w:rPr>
        <w:t>нализ</w:t>
      </w:r>
      <w:r>
        <w:rPr>
          <w:rFonts w:ascii="Times New Roman" w:hAnsi="Times New Roman"/>
          <w:b/>
          <w:i/>
          <w:sz w:val="24"/>
          <w:szCs w:val="24"/>
        </w:rPr>
        <w:t>ом</w:t>
      </w:r>
      <w:r w:rsidR="00E220E3" w:rsidRPr="00CA750A">
        <w:rPr>
          <w:rFonts w:ascii="Times New Roman" w:hAnsi="Times New Roman"/>
          <w:b/>
          <w:i/>
          <w:sz w:val="24"/>
          <w:szCs w:val="24"/>
        </w:rPr>
        <w:t xml:space="preserve"> расходов, включенных в Приложение, </w:t>
      </w:r>
      <w:r>
        <w:rPr>
          <w:rFonts w:ascii="Times New Roman" w:hAnsi="Times New Roman"/>
          <w:b/>
          <w:i/>
          <w:sz w:val="24"/>
          <w:szCs w:val="24"/>
        </w:rPr>
        <w:t xml:space="preserve">установлено </w:t>
      </w:r>
      <w:r w:rsidR="00E220E3" w:rsidRPr="00CA750A">
        <w:rPr>
          <w:rFonts w:ascii="Times New Roman" w:hAnsi="Times New Roman"/>
          <w:b/>
          <w:i/>
          <w:sz w:val="24"/>
          <w:szCs w:val="24"/>
        </w:rPr>
        <w:t>несоответствие объемов расходов, предусмотренных в данном приложении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 объемам аналогичных расходов, спроектированных в приложении № 11 «Ведомственная структура расходов областного бюджета на 2018 год и плановый период 2019 и 2020 годов»:</w:t>
      </w:r>
    </w:p>
    <w:p w:rsidR="00E220E3" w:rsidRPr="00044F23" w:rsidRDefault="00E220E3" w:rsidP="00472099">
      <w:pPr>
        <w:pStyle w:val="a4"/>
        <w:numPr>
          <w:ilvl w:val="0"/>
          <w:numId w:val="11"/>
        </w:numPr>
        <w:tabs>
          <w:tab w:val="left" w:pos="709"/>
        </w:tabs>
        <w:spacing w:after="0" w:line="240" w:lineRule="auto"/>
        <w:ind w:left="709" w:hanging="709"/>
        <w:jc w:val="both"/>
        <w:rPr>
          <w:rFonts w:ascii="Times New Roman" w:hAnsi="Times New Roman"/>
          <w:sz w:val="24"/>
          <w:szCs w:val="24"/>
        </w:rPr>
      </w:pPr>
      <w:r w:rsidRPr="00044F23">
        <w:rPr>
          <w:rFonts w:ascii="Times New Roman" w:hAnsi="Times New Roman"/>
          <w:sz w:val="24"/>
          <w:szCs w:val="24"/>
        </w:rPr>
        <w:t>в части расходов министерства культуры и архивного дела Амурской области:</w:t>
      </w:r>
    </w:p>
    <w:p w:rsidR="00E220E3" w:rsidRPr="00EB717D" w:rsidRDefault="00E220E3" w:rsidP="00EB717D">
      <w:pPr>
        <w:pStyle w:val="a4"/>
        <w:numPr>
          <w:ilvl w:val="0"/>
          <w:numId w:val="14"/>
        </w:numPr>
        <w:spacing w:after="0" w:line="240" w:lineRule="auto"/>
        <w:ind w:left="0" w:firstLine="360"/>
        <w:jc w:val="both"/>
        <w:rPr>
          <w:rFonts w:ascii="Times New Roman" w:hAnsi="Times New Roman"/>
          <w:sz w:val="24"/>
          <w:szCs w:val="24"/>
        </w:rPr>
      </w:pPr>
      <w:r w:rsidRPr="00EB717D">
        <w:rPr>
          <w:rFonts w:ascii="Times New Roman" w:hAnsi="Times New Roman"/>
          <w:sz w:val="24"/>
          <w:szCs w:val="24"/>
        </w:rPr>
        <w:t>в Приложении предусмотрены ассигнования на 2018 год в сумме 2191,3 тыс. рублей, на 2019 год в сумме 2683,9 тыс. рублей, на 2020 год в сумме 2180,9 тыс. рублей;</w:t>
      </w:r>
    </w:p>
    <w:p w:rsidR="00E220E3" w:rsidRPr="00EB717D" w:rsidRDefault="00E220E3" w:rsidP="00EB717D">
      <w:pPr>
        <w:pStyle w:val="a4"/>
        <w:numPr>
          <w:ilvl w:val="0"/>
          <w:numId w:val="14"/>
        </w:numPr>
        <w:tabs>
          <w:tab w:val="left" w:pos="0"/>
        </w:tabs>
        <w:spacing w:after="0" w:line="240" w:lineRule="auto"/>
        <w:ind w:left="0" w:firstLine="360"/>
        <w:jc w:val="both"/>
        <w:rPr>
          <w:rFonts w:ascii="Times New Roman" w:hAnsi="Times New Roman"/>
          <w:sz w:val="24"/>
          <w:szCs w:val="24"/>
        </w:rPr>
      </w:pPr>
      <w:r w:rsidRPr="00EB717D">
        <w:rPr>
          <w:rFonts w:ascii="Times New Roman" w:hAnsi="Times New Roman"/>
          <w:sz w:val="24"/>
          <w:szCs w:val="24"/>
        </w:rPr>
        <w:t>в ведомственной структуре расходов областного бюджета ассигнования предусмотрены в сумме 2318,</w:t>
      </w:r>
      <w:r w:rsidR="0036081A">
        <w:rPr>
          <w:rFonts w:ascii="Times New Roman" w:hAnsi="Times New Roman"/>
          <w:sz w:val="24"/>
          <w:szCs w:val="24"/>
        </w:rPr>
        <w:t>0</w:t>
      </w:r>
      <w:r w:rsidRPr="00EB717D">
        <w:rPr>
          <w:rFonts w:ascii="Times New Roman" w:hAnsi="Times New Roman"/>
          <w:sz w:val="24"/>
          <w:szCs w:val="24"/>
        </w:rPr>
        <w:t xml:space="preserve"> тыс. рублей, 2839,0 тыс. рублей и 2307,1 тыс. рублей, соответственно по годам.</w:t>
      </w:r>
    </w:p>
    <w:p w:rsidR="00E220E3" w:rsidRDefault="00E220E3" w:rsidP="00472099">
      <w:pPr>
        <w:pStyle w:val="a4"/>
        <w:numPr>
          <w:ilvl w:val="0"/>
          <w:numId w:val="11"/>
        </w:numPr>
        <w:tabs>
          <w:tab w:val="left" w:pos="709"/>
        </w:tabs>
        <w:spacing w:after="0" w:line="240" w:lineRule="auto"/>
        <w:ind w:left="709" w:hanging="709"/>
        <w:jc w:val="both"/>
        <w:rPr>
          <w:rFonts w:ascii="Times New Roman" w:hAnsi="Times New Roman"/>
          <w:sz w:val="24"/>
          <w:szCs w:val="24"/>
        </w:rPr>
      </w:pPr>
      <w:r w:rsidRPr="00044F23">
        <w:rPr>
          <w:rFonts w:ascii="Times New Roman" w:hAnsi="Times New Roman"/>
          <w:sz w:val="24"/>
          <w:szCs w:val="24"/>
        </w:rPr>
        <w:t>в части расходов министерства здравоохранения Амурской области</w:t>
      </w:r>
      <w:r>
        <w:rPr>
          <w:rFonts w:ascii="Times New Roman" w:hAnsi="Times New Roman"/>
          <w:sz w:val="24"/>
          <w:szCs w:val="24"/>
        </w:rPr>
        <w:t>:</w:t>
      </w:r>
    </w:p>
    <w:p w:rsidR="00E220E3" w:rsidRPr="00EB717D" w:rsidRDefault="00E220E3" w:rsidP="00EB717D">
      <w:pPr>
        <w:pStyle w:val="a4"/>
        <w:numPr>
          <w:ilvl w:val="0"/>
          <w:numId w:val="15"/>
        </w:numPr>
        <w:tabs>
          <w:tab w:val="left" w:pos="0"/>
        </w:tabs>
        <w:spacing w:after="0" w:line="240" w:lineRule="auto"/>
        <w:ind w:left="0" w:firstLine="349"/>
        <w:jc w:val="both"/>
        <w:rPr>
          <w:rFonts w:ascii="Times New Roman" w:hAnsi="Times New Roman"/>
          <w:sz w:val="24"/>
          <w:szCs w:val="24"/>
        </w:rPr>
      </w:pPr>
      <w:r w:rsidRPr="00EB717D">
        <w:rPr>
          <w:rFonts w:ascii="Times New Roman" w:hAnsi="Times New Roman"/>
          <w:sz w:val="24"/>
          <w:szCs w:val="24"/>
        </w:rPr>
        <w:t>в Приложении предусмотрены ассигнования на 2018 год в сумме 19398,4 тыс. рублей, на 2019 год в сумме 23759,5 тыс. рублей, на 2020 год в сумме 19306,9 тыс. рублей;</w:t>
      </w:r>
    </w:p>
    <w:p w:rsidR="00E220E3" w:rsidRPr="00EB717D" w:rsidRDefault="00E220E3" w:rsidP="00EB717D">
      <w:pPr>
        <w:pStyle w:val="a4"/>
        <w:numPr>
          <w:ilvl w:val="0"/>
          <w:numId w:val="15"/>
        </w:numPr>
        <w:tabs>
          <w:tab w:val="left" w:pos="0"/>
        </w:tabs>
        <w:spacing w:after="0" w:line="240" w:lineRule="auto"/>
        <w:ind w:left="0" w:firstLine="349"/>
        <w:jc w:val="both"/>
        <w:rPr>
          <w:rFonts w:ascii="Times New Roman" w:hAnsi="Times New Roman"/>
          <w:sz w:val="24"/>
          <w:szCs w:val="24"/>
        </w:rPr>
      </w:pPr>
      <w:r w:rsidRPr="00EB717D">
        <w:rPr>
          <w:rFonts w:ascii="Times New Roman" w:hAnsi="Times New Roman"/>
          <w:sz w:val="24"/>
          <w:szCs w:val="24"/>
        </w:rPr>
        <w:t>в ведомственной структуре расходов областного бюджета ассигнования предусмотрены в сумме 20422,7 тыс. рублей, 25014,1 тыс. рублей и 20326,4 тыс. рублей, соответственно по годам.</w:t>
      </w:r>
    </w:p>
    <w:p w:rsidR="00DF4306" w:rsidRDefault="00DF4306" w:rsidP="00EB717D">
      <w:pPr>
        <w:autoSpaceDE w:val="0"/>
        <w:autoSpaceDN w:val="0"/>
        <w:adjustRightInd w:val="0"/>
        <w:spacing w:after="0" w:line="264" w:lineRule="auto"/>
        <w:ind w:firstLine="709"/>
        <w:jc w:val="both"/>
        <w:outlineLvl w:val="1"/>
        <w:rPr>
          <w:rFonts w:ascii="Times New Roman" w:hAnsi="Times New Roman"/>
          <w:sz w:val="24"/>
          <w:szCs w:val="24"/>
        </w:rPr>
      </w:pPr>
    </w:p>
    <w:p w:rsidR="00262298" w:rsidRPr="00E626F9" w:rsidRDefault="00262298" w:rsidP="00EB717D">
      <w:pPr>
        <w:autoSpaceDE w:val="0"/>
        <w:autoSpaceDN w:val="0"/>
        <w:adjustRightInd w:val="0"/>
        <w:spacing w:after="0" w:line="264" w:lineRule="auto"/>
        <w:ind w:firstLine="709"/>
        <w:jc w:val="both"/>
        <w:outlineLvl w:val="1"/>
        <w:rPr>
          <w:rFonts w:ascii="Times New Roman" w:hAnsi="Times New Roman"/>
          <w:sz w:val="24"/>
          <w:szCs w:val="24"/>
        </w:rPr>
      </w:pPr>
      <w:r w:rsidRPr="00E626F9">
        <w:rPr>
          <w:rFonts w:ascii="Times New Roman" w:hAnsi="Times New Roman"/>
          <w:sz w:val="24"/>
          <w:szCs w:val="24"/>
        </w:rPr>
        <w:t xml:space="preserve">В соответствии с частью 3 статьи 23 Федерального закона от 29.11.2010 № 326-ФЗ «Об обязательном медицинском страховании в Российской Федерации»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Условием предоставления субвенции является соответствие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24" w:history="1">
        <w:r w:rsidRPr="00E626F9">
          <w:rPr>
            <w:rFonts w:ascii="Times New Roman" w:hAnsi="Times New Roman"/>
            <w:sz w:val="24"/>
            <w:szCs w:val="24"/>
          </w:rPr>
          <w:t>статьей 23</w:t>
        </w:r>
      </w:hyperlink>
      <w:r w:rsidRPr="00E626F9">
        <w:rPr>
          <w:rFonts w:ascii="Times New Roman" w:hAnsi="Times New Roman"/>
          <w:sz w:val="24"/>
          <w:szCs w:val="24"/>
        </w:rPr>
        <w:t xml:space="preserve"> Федерального закона от 29.11.2010 № 326-ФЗ, и при условии перечисления в бюджет Федерального фонда обязательного медицинского страхования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262298" w:rsidRPr="00E626F9" w:rsidRDefault="00262298" w:rsidP="00EB717D">
      <w:pPr>
        <w:autoSpaceDE w:val="0"/>
        <w:autoSpaceDN w:val="0"/>
        <w:adjustRightInd w:val="0"/>
        <w:spacing w:after="0" w:line="264" w:lineRule="auto"/>
        <w:ind w:firstLine="709"/>
        <w:jc w:val="both"/>
        <w:outlineLvl w:val="1"/>
        <w:rPr>
          <w:rFonts w:ascii="Times New Roman" w:hAnsi="Times New Roman"/>
          <w:sz w:val="24"/>
          <w:szCs w:val="24"/>
        </w:rPr>
      </w:pPr>
      <w:r w:rsidRPr="00E626F9">
        <w:rPr>
          <w:rFonts w:ascii="Times New Roman" w:hAnsi="Times New Roman"/>
          <w:sz w:val="24"/>
          <w:szCs w:val="24"/>
        </w:rPr>
        <w:t xml:space="preserve">В проекте закона Амурской области «Об областном бюджете на 2018 год и плановый период 2019 и 2020 годов» по подпрограмме «Обеспечение реализации основных направлений государственной политики в сфере реализации государственной программы» Государственной программы «Развитие здравоохранения Амурской области на </w:t>
      </w:r>
      <w:r w:rsidRPr="00E626F9">
        <w:rPr>
          <w:rFonts w:ascii="Times New Roman" w:hAnsi="Times New Roman"/>
          <w:sz w:val="24"/>
          <w:szCs w:val="24"/>
        </w:rPr>
        <w:br/>
        <w:t xml:space="preserve">2014-2020 годы» средства на обязательное медицинское страхование неработающего населения, направляемые в 2018 году и плановом периоде 2019 и 2020 годов в виде межбюджетных трансфертов в бюджет Федерального фонда обязательного медицинского страхования, предусмотрены в размере 5242789,3 тыс. рублей (2018 и 2019 годы) и </w:t>
      </w:r>
      <w:r w:rsidRPr="00E626F9">
        <w:rPr>
          <w:rFonts w:ascii="Times New Roman" w:hAnsi="Times New Roman"/>
          <w:sz w:val="24"/>
          <w:szCs w:val="24"/>
        </w:rPr>
        <w:br/>
        <w:t xml:space="preserve">5452288,5 тыс. рублей (2020 год), что не соответствует расчетному объему, определяемому  в соответствии с требованиями </w:t>
      </w:r>
      <w:hyperlink r:id="rId25" w:history="1">
        <w:r w:rsidRPr="00E626F9">
          <w:rPr>
            <w:rFonts w:ascii="Times New Roman" w:hAnsi="Times New Roman"/>
            <w:sz w:val="24"/>
            <w:szCs w:val="24"/>
          </w:rPr>
          <w:t>статьи 23</w:t>
        </w:r>
      </w:hyperlink>
      <w:r w:rsidRPr="00E626F9">
        <w:rPr>
          <w:rFonts w:ascii="Times New Roman" w:hAnsi="Times New Roman"/>
          <w:sz w:val="24"/>
          <w:szCs w:val="24"/>
        </w:rPr>
        <w:t xml:space="preserve"> Федерального закона от 29.11.2010 № 326-ФЗ «Об обязательном медицинском страховании в Российской Федерации» и Федерального закона от 30.11.2011 № 354</w:t>
      </w:r>
      <w:r w:rsidRPr="00E626F9">
        <w:rPr>
          <w:rFonts w:ascii="Times New Roman" w:hAnsi="Times New Roman"/>
          <w:sz w:val="24"/>
          <w:szCs w:val="24"/>
        </w:rPr>
        <w:noBreakHyphen/>
        <w:t>ФЗ «О размере и порядке расчета тарифа страхового взноса на обязательное медицинское страхование неработающего населения» в размере 5201130,9 тыс. рублей (2018 год), 5409568,1 тыс. рублей (2019 год) и 56</w:t>
      </w:r>
      <w:r w:rsidR="00EB717D">
        <w:rPr>
          <w:rFonts w:ascii="Times New Roman" w:hAnsi="Times New Roman"/>
          <w:sz w:val="24"/>
          <w:szCs w:val="24"/>
        </w:rPr>
        <w:t>27659,6 тыс. рублей (2020 год).</w:t>
      </w:r>
    </w:p>
    <w:p w:rsidR="00262298" w:rsidRPr="00E626F9" w:rsidRDefault="00262298" w:rsidP="00EB717D">
      <w:pPr>
        <w:tabs>
          <w:tab w:val="left" w:pos="709"/>
        </w:tabs>
        <w:spacing w:after="0" w:line="264" w:lineRule="auto"/>
        <w:ind w:firstLine="709"/>
        <w:jc w:val="both"/>
        <w:rPr>
          <w:rFonts w:ascii="Times New Roman" w:hAnsi="Times New Roman"/>
          <w:sz w:val="24"/>
          <w:szCs w:val="24"/>
        </w:rPr>
      </w:pPr>
    </w:p>
    <w:p w:rsidR="00E220E3" w:rsidRDefault="00E220E3" w:rsidP="00EB717D">
      <w:pPr>
        <w:tabs>
          <w:tab w:val="left" w:pos="709"/>
        </w:tabs>
        <w:spacing w:after="0" w:line="264" w:lineRule="auto"/>
        <w:ind w:firstLine="709"/>
        <w:jc w:val="both"/>
        <w:rPr>
          <w:rFonts w:ascii="Times New Roman" w:hAnsi="Times New Roman"/>
          <w:sz w:val="24"/>
          <w:szCs w:val="24"/>
        </w:rPr>
      </w:pPr>
      <w:r>
        <w:rPr>
          <w:rFonts w:ascii="Times New Roman" w:hAnsi="Times New Roman"/>
          <w:sz w:val="24"/>
          <w:szCs w:val="24"/>
        </w:rPr>
        <w:t xml:space="preserve">Согласно статье 6 Бюджетного кодекса Российской Федерации </w:t>
      </w:r>
      <w:r w:rsidRPr="00DC51D6">
        <w:rPr>
          <w:rFonts w:ascii="Times New Roman" w:hAnsi="Times New Roman"/>
          <w:sz w:val="24"/>
          <w:szCs w:val="24"/>
        </w:rPr>
        <w:t xml:space="preserve">ведомственная структура расходов бюджета </w:t>
      </w:r>
      <w:r>
        <w:rPr>
          <w:rFonts w:ascii="Times New Roman" w:hAnsi="Times New Roman"/>
          <w:sz w:val="24"/>
          <w:szCs w:val="24"/>
        </w:rPr>
        <w:t>-</w:t>
      </w:r>
      <w:r w:rsidRPr="00DC51D6">
        <w:rPr>
          <w:rFonts w:ascii="Times New Roman" w:hAnsi="Times New Roman"/>
          <w:sz w:val="24"/>
          <w:szCs w:val="24"/>
        </w:rPr>
        <w:t xml:space="preserve"> </w:t>
      </w:r>
      <w:r>
        <w:rPr>
          <w:rFonts w:ascii="Times New Roman" w:hAnsi="Times New Roman"/>
          <w:sz w:val="24"/>
          <w:szCs w:val="24"/>
        </w:rPr>
        <w:t xml:space="preserve">это </w:t>
      </w:r>
      <w:r w:rsidRPr="00DC51D6">
        <w:rPr>
          <w:rFonts w:ascii="Times New Roman" w:hAnsi="Times New Roman"/>
          <w:sz w:val="24"/>
          <w:szCs w:val="24"/>
        </w:rPr>
        <w:t xml:space="preserve">распределение бюджетных ассигнований, </w:t>
      </w:r>
      <w:r w:rsidRPr="00DC51D6">
        <w:rPr>
          <w:rFonts w:ascii="Times New Roman" w:hAnsi="Times New Roman"/>
          <w:sz w:val="24"/>
          <w:szCs w:val="24"/>
        </w:rPr>
        <w:lastRenderedPageBreak/>
        <w:t>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Pr>
          <w:rFonts w:ascii="Times New Roman" w:hAnsi="Times New Roman"/>
          <w:sz w:val="24"/>
          <w:szCs w:val="24"/>
        </w:rPr>
        <w:t>.</w:t>
      </w:r>
    </w:p>
    <w:p w:rsidR="00E220E3" w:rsidRDefault="00E220E3" w:rsidP="00EB717D">
      <w:pPr>
        <w:tabs>
          <w:tab w:val="left" w:pos="709"/>
        </w:tabs>
        <w:spacing w:after="0" w:line="264" w:lineRule="auto"/>
        <w:ind w:firstLine="709"/>
        <w:jc w:val="both"/>
        <w:rPr>
          <w:rFonts w:ascii="Times New Roman" w:hAnsi="Times New Roman"/>
          <w:sz w:val="24"/>
          <w:szCs w:val="24"/>
        </w:rPr>
      </w:pPr>
      <w:r>
        <w:rPr>
          <w:rFonts w:ascii="Times New Roman" w:hAnsi="Times New Roman"/>
          <w:sz w:val="24"/>
          <w:szCs w:val="24"/>
        </w:rPr>
        <w:t xml:space="preserve">Согласно абзацу 2 части 2 статьи 21 Бюджетного кодекса Российской Федерации </w:t>
      </w:r>
      <w:r w:rsidRPr="00F579C5">
        <w:rPr>
          <w:rFonts w:ascii="Times New Roman" w:hAnsi="Times New Roman"/>
          <w:sz w:val="24"/>
          <w:szCs w:val="24"/>
        </w:rPr>
        <w:t>целевые статьи расходов бюджетов формируются в соответствии с государственными (муниципальными) программами</w:t>
      </w:r>
      <w:r w:rsidRPr="0041164E">
        <w:rPr>
          <w:rFonts w:ascii="Times New Roman" w:hAnsi="Times New Roman"/>
          <w:sz w:val="24"/>
          <w:szCs w:val="24"/>
        </w:rPr>
        <w:t>.</w:t>
      </w:r>
    </w:p>
    <w:p w:rsidR="00E220E3" w:rsidRPr="00061E0B" w:rsidRDefault="00E220E3" w:rsidP="00EB717D">
      <w:pPr>
        <w:tabs>
          <w:tab w:val="left" w:pos="709"/>
        </w:tabs>
        <w:spacing w:after="0" w:line="264" w:lineRule="auto"/>
        <w:ind w:firstLine="709"/>
        <w:jc w:val="both"/>
        <w:rPr>
          <w:rFonts w:ascii="Times New Roman" w:hAnsi="Times New Roman"/>
          <w:b/>
          <w:i/>
          <w:sz w:val="24"/>
          <w:szCs w:val="24"/>
        </w:rPr>
      </w:pPr>
      <w:r w:rsidRPr="00061E0B">
        <w:rPr>
          <w:rFonts w:ascii="Times New Roman" w:hAnsi="Times New Roman"/>
          <w:b/>
          <w:i/>
          <w:sz w:val="24"/>
          <w:szCs w:val="24"/>
        </w:rPr>
        <w:t xml:space="preserve">Контрольно-счетная палата отмечает, что приложение № 11 «Ведомственная структура расходов областного бюджета на 2018 год и плановый период 2019 и </w:t>
      </w:r>
      <w:r w:rsidR="00462C8E">
        <w:rPr>
          <w:rFonts w:ascii="Times New Roman" w:hAnsi="Times New Roman"/>
          <w:b/>
          <w:i/>
          <w:sz w:val="24"/>
          <w:szCs w:val="24"/>
        </w:rPr>
        <w:br/>
      </w:r>
      <w:r w:rsidRPr="00061E0B">
        <w:rPr>
          <w:rFonts w:ascii="Times New Roman" w:hAnsi="Times New Roman"/>
          <w:b/>
          <w:i/>
          <w:sz w:val="24"/>
          <w:szCs w:val="24"/>
        </w:rPr>
        <w:t>2020 годов» к законопроекту не соответствует требованиям вышеуказанных норм Бюджетного кодекса Российской Федерации, а именно не отражает общий объем ассигнований, предусмотренных на реализацию государственных программ, подпрограмм, сформированный по соответствующим целевым статьям.</w:t>
      </w:r>
    </w:p>
    <w:p w:rsidR="00E220E3" w:rsidRDefault="00E220E3" w:rsidP="00E220E3">
      <w:pPr>
        <w:spacing w:after="0" w:line="240" w:lineRule="auto"/>
        <w:jc w:val="both"/>
        <w:rPr>
          <w:rFonts w:ascii="Times New Roman" w:hAnsi="Times New Roman"/>
          <w:sz w:val="24"/>
          <w:szCs w:val="20"/>
        </w:rPr>
      </w:pPr>
      <w:r>
        <w:rPr>
          <w:noProof/>
        </w:rPr>
        <w:drawing>
          <wp:inline distT="0" distB="0" distL="0" distR="0" wp14:anchorId="588ECB71" wp14:editId="791F9154">
            <wp:extent cx="6010275" cy="45434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4357" w:rsidRDefault="007A4357" w:rsidP="00E220E3">
      <w:pPr>
        <w:spacing w:after="0" w:line="360" w:lineRule="auto"/>
        <w:jc w:val="center"/>
        <w:rPr>
          <w:rFonts w:ascii="Times New Roman" w:hAnsi="Times New Roman"/>
          <w:b/>
          <w:sz w:val="24"/>
          <w:szCs w:val="24"/>
        </w:rPr>
      </w:pPr>
    </w:p>
    <w:p w:rsidR="00E220E3" w:rsidRDefault="00E220E3" w:rsidP="00E220E3">
      <w:pPr>
        <w:spacing w:after="0" w:line="360" w:lineRule="auto"/>
        <w:jc w:val="center"/>
        <w:rPr>
          <w:rFonts w:ascii="Times New Roman" w:hAnsi="Times New Roman"/>
          <w:b/>
          <w:sz w:val="24"/>
          <w:szCs w:val="24"/>
        </w:rPr>
      </w:pPr>
      <w:r w:rsidRPr="00D56AFC">
        <w:rPr>
          <w:rFonts w:ascii="Times New Roman" w:hAnsi="Times New Roman"/>
          <w:b/>
          <w:sz w:val="24"/>
          <w:szCs w:val="24"/>
        </w:rPr>
        <w:t xml:space="preserve">Рис. </w:t>
      </w:r>
      <w:r w:rsidR="00462C8E">
        <w:rPr>
          <w:rFonts w:ascii="Times New Roman" w:hAnsi="Times New Roman"/>
          <w:b/>
          <w:sz w:val="24"/>
          <w:szCs w:val="24"/>
        </w:rPr>
        <w:t>13</w:t>
      </w:r>
      <w:r w:rsidRPr="00D56AFC">
        <w:rPr>
          <w:rFonts w:ascii="Times New Roman" w:hAnsi="Times New Roman"/>
          <w:b/>
          <w:sz w:val="24"/>
          <w:szCs w:val="24"/>
        </w:rPr>
        <w:t xml:space="preserve"> </w:t>
      </w:r>
      <w:r>
        <w:rPr>
          <w:rFonts w:ascii="Times New Roman" w:hAnsi="Times New Roman"/>
          <w:b/>
          <w:sz w:val="24"/>
          <w:szCs w:val="24"/>
        </w:rPr>
        <w:t>–</w:t>
      </w:r>
      <w:r w:rsidRPr="00D56AFC">
        <w:rPr>
          <w:rFonts w:ascii="Times New Roman" w:hAnsi="Times New Roman"/>
          <w:b/>
          <w:sz w:val="24"/>
          <w:szCs w:val="24"/>
        </w:rPr>
        <w:t xml:space="preserve"> </w:t>
      </w:r>
      <w:r>
        <w:rPr>
          <w:rFonts w:ascii="Times New Roman" w:hAnsi="Times New Roman"/>
          <w:b/>
          <w:sz w:val="24"/>
          <w:szCs w:val="24"/>
        </w:rPr>
        <w:t>Структура расходов на реализацию государственных программ области за счет средств областного бюджета на 2018 год</w:t>
      </w:r>
    </w:p>
    <w:p w:rsidR="00DD2064" w:rsidRPr="00A0032C" w:rsidRDefault="00DD2064" w:rsidP="00DD2064">
      <w:pPr>
        <w:spacing w:after="0" w:line="264" w:lineRule="auto"/>
        <w:ind w:firstLine="709"/>
        <w:jc w:val="both"/>
        <w:rPr>
          <w:rFonts w:ascii="Times New Roman" w:hAnsi="Times New Roman"/>
          <w:sz w:val="24"/>
          <w:szCs w:val="20"/>
        </w:rPr>
      </w:pPr>
      <w:r>
        <w:rPr>
          <w:rFonts w:ascii="Times New Roman" w:hAnsi="Times New Roman"/>
          <w:sz w:val="24"/>
          <w:szCs w:val="20"/>
        </w:rPr>
        <w:t>К первому чтению законопроекта с</w:t>
      </w:r>
      <w:r w:rsidRPr="00A0032C">
        <w:rPr>
          <w:rFonts w:ascii="Times New Roman" w:hAnsi="Times New Roman"/>
          <w:sz w:val="24"/>
          <w:szCs w:val="20"/>
        </w:rPr>
        <w:t xml:space="preserve">труктура расходов областного бюджета на </w:t>
      </w:r>
      <w:r>
        <w:rPr>
          <w:rFonts w:ascii="Times New Roman" w:hAnsi="Times New Roman"/>
          <w:sz w:val="24"/>
          <w:szCs w:val="20"/>
        </w:rPr>
        <w:br/>
      </w:r>
      <w:r w:rsidRPr="00A0032C">
        <w:rPr>
          <w:rFonts w:ascii="Times New Roman" w:hAnsi="Times New Roman"/>
          <w:sz w:val="24"/>
          <w:szCs w:val="20"/>
        </w:rPr>
        <w:t xml:space="preserve">2018 год, в разрезе государственных программ области отражает социальную направленность областного бюджета, поскольку наибольшая доля расходов – 60,5 процента приходится на реализацию таких государственных программ как «Развитие образования Амурской области на 2014-2020 годы» (доля расходов 23,9 процента), «Развитие здравоохранения Амурской области на 2014-2020 годы» (доля расходов 20,0 процентов), </w:t>
      </w:r>
      <w:r w:rsidRPr="00A0032C">
        <w:rPr>
          <w:rFonts w:ascii="Times New Roman" w:hAnsi="Times New Roman"/>
          <w:sz w:val="24"/>
          <w:szCs w:val="20"/>
        </w:rPr>
        <w:lastRenderedPageBreak/>
        <w:t>«Развитие системы социальной защиты населения Амурской области на 2014-2020 годы» (доля расходов 15,7 процента), «Развитие и сохранение культуры и искусства Амурской области на 2014-2020 годы» (доля расходов 0,6 процента), «Развитие физической культуры и спорта на территории Амурской области на 2014-202 годы» (доля расходов 0</w:t>
      </w:r>
      <w:r>
        <w:rPr>
          <w:rFonts w:ascii="Times New Roman" w:hAnsi="Times New Roman"/>
          <w:sz w:val="24"/>
          <w:szCs w:val="20"/>
        </w:rPr>
        <w:t>,</w:t>
      </w:r>
      <w:r w:rsidRPr="00A0032C">
        <w:rPr>
          <w:rFonts w:ascii="Times New Roman" w:hAnsi="Times New Roman"/>
          <w:sz w:val="24"/>
          <w:szCs w:val="20"/>
        </w:rPr>
        <w:t>3 процента).</w:t>
      </w:r>
    </w:p>
    <w:p w:rsidR="00DD2064" w:rsidRDefault="00DD2064" w:rsidP="00DD2064">
      <w:pPr>
        <w:spacing w:after="0" w:line="264" w:lineRule="auto"/>
        <w:ind w:firstLine="709"/>
        <w:jc w:val="both"/>
        <w:rPr>
          <w:rFonts w:ascii="Times New Roman" w:hAnsi="Times New Roman"/>
          <w:sz w:val="24"/>
          <w:szCs w:val="20"/>
        </w:rPr>
      </w:pPr>
      <w:r w:rsidRPr="00A0032C">
        <w:rPr>
          <w:rFonts w:ascii="Times New Roman" w:hAnsi="Times New Roman"/>
          <w:sz w:val="24"/>
          <w:szCs w:val="20"/>
        </w:rPr>
        <w:t xml:space="preserve">Высокий удельный вес расходов в общем объеме расходов областного бюджета по государственной программе «Повышение эффективности деятельности органов государственной власти и управления Амурской области на 2014-2020 годы» - </w:t>
      </w:r>
      <w:r>
        <w:rPr>
          <w:rFonts w:ascii="Times New Roman" w:hAnsi="Times New Roman"/>
          <w:sz w:val="24"/>
          <w:szCs w:val="20"/>
        </w:rPr>
        <w:br/>
        <w:t>19,5 процента</w:t>
      </w:r>
      <w:r w:rsidRPr="00A0032C">
        <w:rPr>
          <w:rFonts w:ascii="Times New Roman" w:hAnsi="Times New Roman"/>
          <w:sz w:val="24"/>
          <w:szCs w:val="20"/>
        </w:rPr>
        <w:t xml:space="preserve"> и</w:t>
      </w:r>
      <w:r>
        <w:rPr>
          <w:rFonts w:ascii="Times New Roman" w:hAnsi="Times New Roman"/>
          <w:sz w:val="24"/>
          <w:szCs w:val="20"/>
        </w:rPr>
        <w:t xml:space="preserve"> по государственной программе «</w:t>
      </w:r>
      <w:r w:rsidRPr="00A0032C">
        <w:rPr>
          <w:rFonts w:ascii="Times New Roman" w:hAnsi="Times New Roman"/>
          <w:sz w:val="24"/>
          <w:szCs w:val="20"/>
        </w:rPr>
        <w:t>Развитие транспортной системы Амурской области на 2014-2020 годы» - 10,4 процента объясняется расходами на обслуживание государственного долга области и расходами дорожного фонда области, соответственно.</w:t>
      </w:r>
    </w:p>
    <w:p w:rsidR="00DD2064" w:rsidRPr="003704B1" w:rsidRDefault="00DD2064" w:rsidP="00DD2064">
      <w:pPr>
        <w:spacing w:after="0" w:line="264" w:lineRule="auto"/>
        <w:ind w:firstLine="709"/>
        <w:jc w:val="both"/>
        <w:rPr>
          <w:rFonts w:ascii="Times New Roman" w:hAnsi="Times New Roman"/>
          <w:sz w:val="24"/>
          <w:szCs w:val="20"/>
        </w:rPr>
      </w:pPr>
      <w:r w:rsidRPr="003704B1">
        <w:rPr>
          <w:rFonts w:ascii="Times New Roman" w:hAnsi="Times New Roman"/>
          <w:sz w:val="24"/>
          <w:szCs w:val="20"/>
        </w:rPr>
        <w:t xml:space="preserve">Программная структура расходов областного бюджета на 2018 год приведена на рисунке </w:t>
      </w:r>
      <w:r>
        <w:rPr>
          <w:rFonts w:ascii="Times New Roman" w:hAnsi="Times New Roman"/>
          <w:sz w:val="24"/>
          <w:szCs w:val="20"/>
        </w:rPr>
        <w:t>13.</w:t>
      </w:r>
    </w:p>
    <w:p w:rsidR="00DD2064" w:rsidRDefault="00DD2064" w:rsidP="00DD2064">
      <w:pPr>
        <w:spacing w:after="0" w:line="360" w:lineRule="auto"/>
        <w:ind w:firstLine="709"/>
        <w:jc w:val="both"/>
        <w:rPr>
          <w:rFonts w:ascii="Times New Roman" w:hAnsi="Times New Roman"/>
          <w:b/>
          <w:sz w:val="24"/>
          <w:szCs w:val="24"/>
        </w:rPr>
      </w:pPr>
    </w:p>
    <w:p w:rsidR="00E44BA5" w:rsidRPr="00E44BA5" w:rsidRDefault="00B80503" w:rsidP="00B80503">
      <w:pPr>
        <w:pStyle w:val="a4"/>
        <w:numPr>
          <w:ilvl w:val="1"/>
          <w:numId w:val="2"/>
        </w:numPr>
        <w:tabs>
          <w:tab w:val="left" w:pos="993"/>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E44BA5" w:rsidRPr="00E44BA5">
        <w:rPr>
          <w:rFonts w:ascii="Times New Roman" w:hAnsi="Times New Roman"/>
          <w:b/>
          <w:sz w:val="24"/>
          <w:szCs w:val="24"/>
        </w:rPr>
        <w:t>Доходы и расходы дорожного фонда Амурской области на 2018 год и плановый период 2019 и 2020 годов</w:t>
      </w:r>
    </w:p>
    <w:p w:rsidR="00E44BA5" w:rsidRPr="00E44BA5" w:rsidRDefault="00E44BA5" w:rsidP="00E44BA5">
      <w:pPr>
        <w:spacing w:after="0" w:line="240" w:lineRule="auto"/>
        <w:ind w:firstLine="709"/>
        <w:jc w:val="both"/>
        <w:rPr>
          <w:rFonts w:ascii="Times New Roman" w:hAnsi="Times New Roman"/>
          <w:sz w:val="24"/>
          <w:szCs w:val="24"/>
        </w:rPr>
      </w:pPr>
      <w:r w:rsidRPr="00E44BA5">
        <w:rPr>
          <w:rFonts w:ascii="Times New Roman" w:hAnsi="Times New Roman"/>
          <w:sz w:val="24"/>
          <w:szCs w:val="24"/>
        </w:rPr>
        <w:t>В соответствии со статьей 19 проекта закона Амурской области «Об областном бюджете на 2018 год и плановый период 2019 и 2020 годов» предусмотрено утверждение объема бюджетных ассигнований дорожного фонда Амурской области в размере прогнозируемого объема источников его формирования, в том числе:</w:t>
      </w:r>
    </w:p>
    <w:p w:rsidR="00E44BA5" w:rsidRPr="00E44BA5" w:rsidRDefault="00E44BA5" w:rsidP="00472099">
      <w:pPr>
        <w:numPr>
          <w:ilvl w:val="0"/>
          <w:numId w:val="7"/>
        </w:numPr>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2018 год – 3353761,1 тыс. рублей;</w:t>
      </w:r>
    </w:p>
    <w:p w:rsidR="00E44BA5" w:rsidRPr="00E44BA5" w:rsidRDefault="00E44BA5" w:rsidP="00472099">
      <w:pPr>
        <w:numPr>
          <w:ilvl w:val="0"/>
          <w:numId w:val="7"/>
        </w:numPr>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2019 год – 3103482,4 тыс. рублей;</w:t>
      </w:r>
    </w:p>
    <w:p w:rsidR="00E44BA5" w:rsidRPr="00E44BA5" w:rsidRDefault="00E44BA5" w:rsidP="00472099">
      <w:pPr>
        <w:numPr>
          <w:ilvl w:val="0"/>
          <w:numId w:val="7"/>
        </w:numPr>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2020 год – 3111223,6 тыс. рублей.</w:t>
      </w:r>
    </w:p>
    <w:p w:rsidR="00E44BA5" w:rsidRPr="00E44BA5" w:rsidRDefault="00E44BA5" w:rsidP="00E44BA5">
      <w:pPr>
        <w:autoSpaceDE w:val="0"/>
        <w:autoSpaceDN w:val="0"/>
        <w:adjustRightInd w:val="0"/>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По отношению к уточненному плану 2017 года </w:t>
      </w:r>
      <w:r w:rsidR="00015E65">
        <w:rPr>
          <w:rFonts w:ascii="Times New Roman" w:hAnsi="Times New Roman"/>
          <w:sz w:val="24"/>
          <w:szCs w:val="24"/>
        </w:rPr>
        <w:t xml:space="preserve">(с учетом остатков на начало года) </w:t>
      </w:r>
      <w:r w:rsidRPr="00E44BA5">
        <w:rPr>
          <w:rFonts w:ascii="Times New Roman" w:hAnsi="Times New Roman"/>
          <w:sz w:val="24"/>
          <w:szCs w:val="24"/>
        </w:rPr>
        <w:t>ассигнования дорожного фонда уменьшены в 2018 году на 0,4 процента, 2019 году - на 7,8 процент</w:t>
      </w:r>
      <w:r w:rsidR="00297E06">
        <w:rPr>
          <w:rFonts w:ascii="Times New Roman" w:hAnsi="Times New Roman"/>
          <w:sz w:val="24"/>
          <w:szCs w:val="24"/>
        </w:rPr>
        <w:t>а</w:t>
      </w:r>
      <w:r w:rsidRPr="00E44BA5">
        <w:rPr>
          <w:rFonts w:ascii="Times New Roman" w:hAnsi="Times New Roman"/>
          <w:sz w:val="24"/>
          <w:szCs w:val="24"/>
        </w:rPr>
        <w:t>, 2020 году - на 7,6 процента.</w:t>
      </w:r>
      <w:r w:rsidRPr="00E44BA5">
        <w:rPr>
          <w:rFonts w:ascii="Times New Roman" w:hAnsi="Times New Roman"/>
          <w:color w:val="00B0F0"/>
          <w:sz w:val="24"/>
          <w:szCs w:val="24"/>
        </w:rPr>
        <w:t xml:space="preserve"> </w:t>
      </w:r>
      <w:r w:rsidRPr="00E44BA5">
        <w:rPr>
          <w:rFonts w:ascii="Times New Roman" w:hAnsi="Times New Roman"/>
          <w:sz w:val="24"/>
          <w:szCs w:val="24"/>
        </w:rPr>
        <w:t>По сравнению с отчетными данными 2016 года ассигнования дорожного фонда в проекте бюджета уменьшены в 2018 году - на 17 процентов, 2019 году - на 23,2 процента, 2020 году - на 23 процента. Планирование объема ассигнований дорожного фонда на 2018 год и плановый период 2019 и 2020 годов произведено без учета средств федерального бюджета, предусмотренных на финансовое обеспечение мероприятий, реализуемых в рамках федера</w:t>
      </w:r>
      <w:r w:rsidR="00C2563C">
        <w:rPr>
          <w:rFonts w:ascii="Times New Roman" w:hAnsi="Times New Roman"/>
          <w:sz w:val="24"/>
          <w:szCs w:val="24"/>
        </w:rPr>
        <w:t>льных государственных программ.</w:t>
      </w:r>
    </w:p>
    <w:p w:rsidR="00E44BA5" w:rsidRDefault="00E44BA5" w:rsidP="00E44BA5">
      <w:pPr>
        <w:spacing w:after="0" w:line="240" w:lineRule="auto"/>
        <w:ind w:firstLine="709"/>
        <w:jc w:val="both"/>
        <w:rPr>
          <w:rFonts w:ascii="Times New Roman" w:hAnsi="Times New Roman"/>
          <w:sz w:val="24"/>
          <w:szCs w:val="24"/>
        </w:rPr>
      </w:pPr>
      <w:r w:rsidRPr="00E44BA5">
        <w:rPr>
          <w:rFonts w:ascii="Times New Roman" w:hAnsi="Times New Roman"/>
          <w:sz w:val="24"/>
          <w:szCs w:val="24"/>
        </w:rPr>
        <w:t>Динамика объема ассигнований дорожного фонда Амурской области приведена на рисунке 14.</w:t>
      </w:r>
    </w:p>
    <w:p w:rsidR="00DD2064" w:rsidRPr="00E44BA5" w:rsidRDefault="00DD2064" w:rsidP="00DD2064">
      <w:pPr>
        <w:spacing w:after="0" w:line="240" w:lineRule="auto"/>
        <w:ind w:firstLine="709"/>
        <w:jc w:val="both"/>
        <w:rPr>
          <w:rFonts w:ascii="Times New Roman" w:hAnsi="Times New Roman"/>
          <w:sz w:val="24"/>
          <w:szCs w:val="24"/>
        </w:rPr>
      </w:pPr>
      <w:r w:rsidRPr="00E44BA5">
        <w:rPr>
          <w:rFonts w:ascii="Times New Roman" w:hAnsi="Times New Roman"/>
          <w:sz w:val="24"/>
          <w:szCs w:val="24"/>
        </w:rPr>
        <w:t>Основными источниками формирования дорожного фонда являются:</w:t>
      </w:r>
    </w:p>
    <w:p w:rsidR="00DD2064" w:rsidRPr="00E44BA5" w:rsidRDefault="00DD2064" w:rsidP="00DD2064">
      <w:pPr>
        <w:numPr>
          <w:ilvl w:val="0"/>
          <w:numId w:val="8"/>
        </w:numPr>
        <w:tabs>
          <w:tab w:val="left" w:pos="993"/>
        </w:tabs>
        <w:spacing w:after="0" w:line="240" w:lineRule="auto"/>
        <w:ind w:left="0" w:firstLine="709"/>
        <w:jc w:val="both"/>
        <w:rPr>
          <w:rFonts w:ascii="Times New Roman" w:hAnsi="Times New Roman"/>
          <w:sz w:val="24"/>
          <w:szCs w:val="24"/>
        </w:rPr>
      </w:pPr>
      <w:r w:rsidRPr="00E44BA5">
        <w:rPr>
          <w:rFonts w:ascii="Times New Roman" w:hAnsi="Times New Roman"/>
          <w:sz w:val="24"/>
          <w:szCs w:val="2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p w:rsidR="00DD2064" w:rsidRPr="00E44BA5" w:rsidRDefault="00DD2064" w:rsidP="00DD2064">
      <w:pPr>
        <w:numPr>
          <w:ilvl w:val="0"/>
          <w:numId w:val="8"/>
        </w:numPr>
        <w:tabs>
          <w:tab w:val="left" w:pos="993"/>
        </w:tabs>
        <w:spacing w:after="0" w:line="240" w:lineRule="auto"/>
        <w:ind w:left="0" w:firstLine="709"/>
        <w:jc w:val="both"/>
        <w:rPr>
          <w:rFonts w:ascii="Times New Roman" w:hAnsi="Times New Roman"/>
          <w:sz w:val="24"/>
          <w:szCs w:val="24"/>
        </w:rPr>
      </w:pPr>
      <w:r w:rsidRPr="00E44BA5">
        <w:rPr>
          <w:rFonts w:ascii="Times New Roman" w:hAnsi="Times New Roman"/>
          <w:sz w:val="24"/>
          <w:szCs w:val="24"/>
        </w:rPr>
        <w:t>доходы от уплаты акцизов на дизельное топливо, подлежащих распределению в консолидированные бюджеты субъектов Российской Федерации;</w:t>
      </w:r>
    </w:p>
    <w:p w:rsidR="00DD2064" w:rsidRPr="00E44BA5" w:rsidRDefault="00DD2064" w:rsidP="00DD2064">
      <w:pPr>
        <w:numPr>
          <w:ilvl w:val="0"/>
          <w:numId w:val="8"/>
        </w:numPr>
        <w:tabs>
          <w:tab w:val="left" w:pos="993"/>
        </w:tabs>
        <w:spacing w:after="0" w:line="240" w:lineRule="auto"/>
        <w:ind w:left="0" w:firstLine="709"/>
        <w:jc w:val="both"/>
        <w:rPr>
          <w:rFonts w:ascii="Times New Roman" w:hAnsi="Times New Roman"/>
          <w:sz w:val="24"/>
          <w:szCs w:val="24"/>
        </w:rPr>
      </w:pPr>
      <w:r w:rsidRPr="00E44BA5">
        <w:rPr>
          <w:rFonts w:ascii="Times New Roman" w:hAnsi="Times New Roman"/>
          <w:sz w:val="24"/>
          <w:szCs w:val="24"/>
        </w:rPr>
        <w:t>доходы от уплаты акцизов на моторные масла для дизельных и (или) карбюраторных (инжекторных) двигателей;</w:t>
      </w:r>
    </w:p>
    <w:p w:rsidR="00DD2064" w:rsidRPr="00E44BA5" w:rsidRDefault="00DD2064" w:rsidP="00DD2064">
      <w:pPr>
        <w:numPr>
          <w:ilvl w:val="0"/>
          <w:numId w:val="8"/>
        </w:numPr>
        <w:tabs>
          <w:tab w:val="left" w:pos="993"/>
        </w:tabs>
        <w:spacing w:after="0" w:line="240" w:lineRule="auto"/>
        <w:ind w:left="0" w:firstLine="709"/>
        <w:jc w:val="both"/>
        <w:rPr>
          <w:rFonts w:ascii="Times New Roman" w:hAnsi="Times New Roman"/>
          <w:sz w:val="24"/>
          <w:szCs w:val="24"/>
        </w:rPr>
      </w:pPr>
      <w:r w:rsidRPr="00E44BA5">
        <w:rPr>
          <w:rFonts w:ascii="Times New Roman" w:hAnsi="Times New Roman"/>
          <w:sz w:val="24"/>
          <w:szCs w:val="24"/>
        </w:rPr>
        <w:t>транспортный налог с организаций и физических лиц.</w:t>
      </w:r>
    </w:p>
    <w:p w:rsidR="00DD2064" w:rsidRPr="00E44BA5" w:rsidRDefault="00DD2064" w:rsidP="00DD2064">
      <w:pPr>
        <w:spacing w:after="0" w:line="240" w:lineRule="auto"/>
        <w:ind w:firstLine="709"/>
        <w:jc w:val="both"/>
        <w:rPr>
          <w:rFonts w:ascii="Times New Roman" w:hAnsi="Times New Roman"/>
          <w:sz w:val="24"/>
          <w:szCs w:val="24"/>
        </w:rPr>
      </w:pPr>
      <w:r w:rsidRPr="00E44BA5">
        <w:rPr>
          <w:rFonts w:ascii="Times New Roman" w:hAnsi="Times New Roman"/>
          <w:sz w:val="24"/>
          <w:szCs w:val="24"/>
        </w:rPr>
        <w:t>Источники формирования дорожного фонда соответствуют статье 2 закона Амурской области от 07.09.2011 № 527-ОЗ «О дорожном фонде Амурской области».</w:t>
      </w:r>
    </w:p>
    <w:p w:rsidR="00DD2064" w:rsidRPr="00E44BA5" w:rsidRDefault="00DD2064" w:rsidP="00DD2064">
      <w:pPr>
        <w:spacing w:after="0" w:line="240" w:lineRule="auto"/>
        <w:ind w:firstLine="709"/>
        <w:jc w:val="both"/>
        <w:rPr>
          <w:rFonts w:ascii="Times New Roman" w:hAnsi="Times New Roman"/>
          <w:sz w:val="24"/>
          <w:szCs w:val="24"/>
        </w:rPr>
      </w:pPr>
      <w:r w:rsidRPr="00E44BA5">
        <w:rPr>
          <w:rFonts w:ascii="Times New Roman" w:hAnsi="Times New Roman"/>
          <w:sz w:val="24"/>
          <w:szCs w:val="24"/>
        </w:rPr>
        <w:t>Поступление доходов от уплаты акцизов на автомобильный бензин, производимый на территории Российской Федерации, подлежащих распределению в консолидированные бюджеты субъектов Российской Федерации, в 2018 году предусмотрено в объеме</w:t>
      </w:r>
      <w:r w:rsidRPr="00E44BA5">
        <w:rPr>
          <w:rFonts w:ascii="Times New Roman" w:hAnsi="Times New Roman"/>
          <w:sz w:val="24"/>
          <w:szCs w:val="24"/>
        </w:rPr>
        <w:br/>
      </w:r>
      <w:r>
        <w:rPr>
          <w:rFonts w:ascii="Times New Roman" w:hAnsi="Times New Roman"/>
          <w:sz w:val="24"/>
          <w:szCs w:val="24"/>
        </w:rPr>
        <w:t>1</w:t>
      </w:r>
      <w:r w:rsidRPr="00E44BA5">
        <w:rPr>
          <w:rFonts w:ascii="Times New Roman" w:hAnsi="Times New Roman"/>
          <w:sz w:val="24"/>
          <w:szCs w:val="24"/>
        </w:rPr>
        <w:t xml:space="preserve">338423,0 тыс. рублей, что ниже уточненного плана поступлений 2017 года на </w:t>
      </w:r>
      <w:r w:rsidRPr="00E44BA5">
        <w:rPr>
          <w:rFonts w:ascii="Times New Roman" w:hAnsi="Times New Roman"/>
          <w:sz w:val="24"/>
          <w:szCs w:val="24"/>
        </w:rPr>
        <w:br/>
        <w:t>1,9 процента и ниже фактических доходов за 2016 год на 30,3 процента.</w:t>
      </w:r>
      <w:r w:rsidRPr="00E44BA5">
        <w:rPr>
          <w:rFonts w:ascii="Times New Roman" w:hAnsi="Times New Roman"/>
          <w:color w:val="00B0F0"/>
          <w:sz w:val="24"/>
          <w:szCs w:val="24"/>
        </w:rPr>
        <w:t xml:space="preserve"> </w:t>
      </w:r>
      <w:r w:rsidRPr="00E44BA5">
        <w:rPr>
          <w:rFonts w:ascii="Times New Roman" w:hAnsi="Times New Roman"/>
          <w:sz w:val="24"/>
          <w:szCs w:val="24"/>
        </w:rPr>
        <w:t>В 2019 и 2020 годах предусмотрено поступление доходов в равном объеме 1500943,0 тыс. рублей.</w:t>
      </w:r>
      <w:r w:rsidRPr="00E44BA5">
        <w:rPr>
          <w:rFonts w:ascii="Times New Roman" w:hAnsi="Times New Roman"/>
          <w:color w:val="00B0F0"/>
          <w:sz w:val="24"/>
          <w:szCs w:val="24"/>
        </w:rPr>
        <w:t xml:space="preserve"> </w:t>
      </w:r>
      <w:r w:rsidRPr="00E44BA5">
        <w:rPr>
          <w:rFonts w:ascii="Times New Roman" w:hAnsi="Times New Roman"/>
          <w:sz w:val="24"/>
          <w:szCs w:val="24"/>
        </w:rPr>
        <w:t xml:space="preserve">Удельный вес доходов от уплаты акцизов на автомобильный бензин, производимый на территории </w:t>
      </w:r>
      <w:r w:rsidRPr="00E44BA5">
        <w:rPr>
          <w:rFonts w:ascii="Times New Roman" w:hAnsi="Times New Roman"/>
          <w:sz w:val="24"/>
          <w:szCs w:val="24"/>
        </w:rPr>
        <w:lastRenderedPageBreak/>
        <w:t xml:space="preserve">Российской Федерации, при формировании дорожного фонда в 2018 году составляет </w:t>
      </w:r>
      <w:r>
        <w:rPr>
          <w:rFonts w:ascii="Times New Roman" w:hAnsi="Times New Roman"/>
          <w:sz w:val="24"/>
          <w:szCs w:val="24"/>
        </w:rPr>
        <w:br/>
      </w:r>
      <w:r w:rsidRPr="00E44BA5">
        <w:rPr>
          <w:rFonts w:ascii="Times New Roman" w:hAnsi="Times New Roman"/>
          <w:sz w:val="24"/>
          <w:szCs w:val="24"/>
        </w:rPr>
        <w:t>39,9 процента, в плановом периоде 2019 и 2020 годов – 48,4 и 48,2 процента, соответственно.</w:t>
      </w:r>
    </w:p>
    <w:p w:rsidR="00DD2064" w:rsidRPr="00E44BA5" w:rsidRDefault="00DD2064" w:rsidP="00E44BA5">
      <w:pPr>
        <w:spacing w:after="0" w:line="240" w:lineRule="auto"/>
        <w:ind w:firstLine="709"/>
        <w:jc w:val="both"/>
        <w:rPr>
          <w:rFonts w:ascii="Times New Roman" w:hAnsi="Times New Roman"/>
          <w:sz w:val="24"/>
          <w:szCs w:val="24"/>
        </w:rPr>
      </w:pPr>
    </w:p>
    <w:p w:rsidR="00E44BA5" w:rsidRPr="00E44BA5" w:rsidRDefault="00E44BA5" w:rsidP="00E44BA5">
      <w:pPr>
        <w:jc w:val="center"/>
        <w:rPr>
          <w:rFonts w:ascii="Times New Roman" w:hAnsi="Times New Roman"/>
          <w:b/>
          <w:sz w:val="24"/>
          <w:szCs w:val="24"/>
        </w:rPr>
      </w:pPr>
      <w:r w:rsidRPr="00E44BA5">
        <w:rPr>
          <w:rFonts w:ascii="Times New Roman" w:hAnsi="Times New Roman"/>
          <w:noProof/>
        </w:rPr>
        <w:drawing>
          <wp:inline distT="0" distB="0" distL="0" distR="0" wp14:anchorId="0A2AEA07" wp14:editId="2B60BD60">
            <wp:extent cx="5934075" cy="391160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44BA5">
        <w:rPr>
          <w:rFonts w:ascii="Times New Roman" w:hAnsi="Times New Roman"/>
          <w:b/>
          <w:sz w:val="24"/>
          <w:szCs w:val="24"/>
        </w:rPr>
        <w:t xml:space="preserve">Рис. 14 </w:t>
      </w:r>
      <w:r w:rsidR="00002DB5">
        <w:rPr>
          <w:rFonts w:ascii="Times New Roman" w:hAnsi="Times New Roman"/>
          <w:b/>
          <w:sz w:val="24"/>
          <w:szCs w:val="24"/>
        </w:rPr>
        <w:t xml:space="preserve">- </w:t>
      </w:r>
      <w:r w:rsidRPr="00E44BA5">
        <w:rPr>
          <w:rFonts w:ascii="Times New Roman" w:hAnsi="Times New Roman"/>
          <w:b/>
          <w:sz w:val="24"/>
          <w:szCs w:val="24"/>
        </w:rPr>
        <w:t>Динамика объема ассигнований дорожного фонда в 2016-2020 годах</w:t>
      </w:r>
    </w:p>
    <w:p w:rsidR="00E44BA5" w:rsidRPr="00E44BA5" w:rsidRDefault="00E44BA5" w:rsidP="00E44BA5">
      <w:pPr>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В 2018 году объем доходов от уплаты акцизов на дизельное топливо, подлежащих распределению в консолидированные бюджеты субъектов Российской Федерации, предусмотрен в размере 645258,0 тыс. рублей, что больше уточненного плана поступлений 2017 года на 0,2 процента и ниже фактических доходов за 2016 год на 30,9 процента. </w:t>
      </w:r>
      <w:r>
        <w:rPr>
          <w:rFonts w:ascii="Times New Roman" w:hAnsi="Times New Roman"/>
          <w:sz w:val="24"/>
          <w:szCs w:val="24"/>
        </w:rPr>
        <w:br/>
      </w:r>
      <w:r w:rsidRPr="00E44BA5">
        <w:rPr>
          <w:rFonts w:ascii="Times New Roman" w:hAnsi="Times New Roman"/>
          <w:sz w:val="24"/>
          <w:szCs w:val="24"/>
        </w:rPr>
        <w:t xml:space="preserve">В 2019 и 2020 годах предусмотрено поступление доходов в равном объеме </w:t>
      </w:r>
      <w:r w:rsidRPr="00E44BA5">
        <w:rPr>
          <w:rFonts w:ascii="Times New Roman" w:hAnsi="Times New Roman"/>
          <w:sz w:val="24"/>
          <w:szCs w:val="24"/>
        </w:rPr>
        <w:br/>
        <w:t xml:space="preserve">719847,0 тыс. рублей. Удельный вес доходов от уплаты акцизов на дизельное топливо, подлежащих распределению в консолидированные бюджеты субъектов Российской Федерации, при формировании дорожного фонда в 2018 году составляет </w:t>
      </w:r>
      <w:r w:rsidRPr="00E44BA5">
        <w:rPr>
          <w:rFonts w:ascii="Times New Roman" w:hAnsi="Times New Roman"/>
          <w:sz w:val="24"/>
          <w:szCs w:val="24"/>
        </w:rPr>
        <w:br/>
        <w:t>19,2 процента, в плановом периоде 2019 и 2020 годов - 23,2 и 23,1 процента, соответственно.</w:t>
      </w:r>
    </w:p>
    <w:p w:rsidR="00875B6A" w:rsidRDefault="00E44BA5" w:rsidP="00E44BA5">
      <w:pPr>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Объем доходов от уплаты акцизов на моторные масла для дизельных и (или) карбюраторных (инжекторных) двигателей в 2018 году предусмотрен в размере </w:t>
      </w:r>
      <w:r w:rsidRPr="00E44BA5">
        <w:rPr>
          <w:rFonts w:ascii="Times New Roman" w:hAnsi="Times New Roman"/>
          <w:sz w:val="24"/>
          <w:szCs w:val="24"/>
        </w:rPr>
        <w:br/>
        <w:t>5 876,0 тыс. рублей, что меньше уточненного плана поступлений 2017 года на 8,4 процента и ниже фактических доходов за 2016 год на 58,7 процента. В 2019 и 2020 годах предусмотрено поступление доходов в равном объеме 6193,0 тыс. рублей. Удельный вес доходов от уплаты акцизов на дизельное топливо, подлежащих распределению в консолидированные бюджеты субъектов Российской Федерации, при формировании дорожного фонда в 2018 году и в плановом периоде 2019 и 2020 годов составляет 0,2 процента</w:t>
      </w:r>
      <w:r w:rsidR="00875B6A">
        <w:rPr>
          <w:rFonts w:ascii="Times New Roman" w:hAnsi="Times New Roman"/>
          <w:sz w:val="24"/>
          <w:szCs w:val="24"/>
        </w:rPr>
        <w:t xml:space="preserve"> ежегодно.</w:t>
      </w:r>
    </w:p>
    <w:p w:rsidR="00E44BA5" w:rsidRPr="00E44BA5" w:rsidRDefault="00E44BA5" w:rsidP="00E44BA5">
      <w:pPr>
        <w:spacing w:after="0" w:line="240" w:lineRule="auto"/>
        <w:ind w:firstLine="709"/>
        <w:jc w:val="both"/>
        <w:rPr>
          <w:rFonts w:ascii="Times New Roman" w:hAnsi="Times New Roman"/>
          <w:sz w:val="24"/>
          <w:szCs w:val="24"/>
        </w:rPr>
      </w:pPr>
      <w:r w:rsidRPr="00E44BA5">
        <w:rPr>
          <w:rFonts w:ascii="Times New Roman" w:hAnsi="Times New Roman"/>
          <w:sz w:val="24"/>
          <w:szCs w:val="24"/>
        </w:rPr>
        <w:t>Поступление транспортного налога с организаций и физических лиц в 2018 году предусмотрено в объеме 888 095,0 тыс. рублей, что больше уточненного плана поступлений 2017 года на 1,5 процента и фактического поступления за 2016 год на 4,1 процента. Размер поступлений по данному источнику на 2019 и 2020 год предусмотрен в сумме 906632,0 тыс. рублей и 914578,0 тыс. рублей соответственно.</w:t>
      </w:r>
      <w:r w:rsidRPr="00E44BA5">
        <w:rPr>
          <w:rFonts w:ascii="Times New Roman" w:hAnsi="Times New Roman"/>
          <w:color w:val="00B0F0"/>
          <w:sz w:val="24"/>
          <w:szCs w:val="24"/>
        </w:rPr>
        <w:t xml:space="preserve"> </w:t>
      </w:r>
      <w:r w:rsidRPr="00E44BA5">
        <w:rPr>
          <w:rFonts w:ascii="Times New Roman" w:hAnsi="Times New Roman"/>
          <w:sz w:val="24"/>
          <w:szCs w:val="24"/>
        </w:rPr>
        <w:t>Удельный вес транспортного налога в общем объеме дорожного фонда в 2018 году составляет 26,5 процента, в плановом периоде 2019 и 2020 годов – 29,2 и 29,4 процента, соответственно.</w:t>
      </w:r>
    </w:p>
    <w:p w:rsidR="00E44BA5" w:rsidRPr="00E44BA5" w:rsidRDefault="00E44BA5" w:rsidP="00E44BA5">
      <w:pPr>
        <w:autoSpaceDE w:val="0"/>
        <w:autoSpaceDN w:val="0"/>
        <w:adjustRightInd w:val="0"/>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Снижение общего объема доходов дорожного фонда в 2019 году по сравнению </w:t>
      </w:r>
      <w:r w:rsidRPr="00E44BA5">
        <w:rPr>
          <w:rFonts w:ascii="Times New Roman" w:hAnsi="Times New Roman"/>
          <w:sz w:val="24"/>
          <w:szCs w:val="24"/>
        </w:rPr>
        <w:br/>
        <w:t xml:space="preserve">с 2018 годом вызвано снижением размера поступлений доходов в порядке возмещения </w:t>
      </w:r>
      <w:r w:rsidRPr="00E44BA5">
        <w:rPr>
          <w:rFonts w:ascii="Times New Roman" w:hAnsi="Times New Roman"/>
          <w:sz w:val="24"/>
          <w:szCs w:val="24"/>
        </w:rPr>
        <w:lastRenderedPageBreak/>
        <w:t xml:space="preserve">расходов, понесенных в связи с эксплуатацией имущества, закрепленного на праве оперативного управления за государственным казенным учреждением управлением автомобильных дорог Амурской области «Амурупрадор», на 497143,7 тыс. рублей с </w:t>
      </w:r>
      <w:r w:rsidR="00002DB5">
        <w:rPr>
          <w:rFonts w:ascii="Times New Roman" w:hAnsi="Times New Roman"/>
          <w:sz w:val="24"/>
          <w:szCs w:val="24"/>
        </w:rPr>
        <w:br/>
      </w:r>
      <w:r w:rsidRPr="00E44BA5">
        <w:rPr>
          <w:rFonts w:ascii="Times New Roman" w:hAnsi="Times New Roman"/>
          <w:sz w:val="24"/>
          <w:szCs w:val="24"/>
        </w:rPr>
        <w:t>601988,9 тыс. рублей (2018 год) до 104845,2 тыс. рублей (2019</w:t>
      </w:r>
      <w:r w:rsidR="007310A9">
        <w:rPr>
          <w:rFonts w:ascii="Times New Roman" w:hAnsi="Times New Roman"/>
          <w:sz w:val="24"/>
          <w:szCs w:val="24"/>
        </w:rPr>
        <w:t xml:space="preserve">, 2020 </w:t>
      </w:r>
      <w:r w:rsidRPr="00E44BA5">
        <w:rPr>
          <w:rFonts w:ascii="Times New Roman" w:hAnsi="Times New Roman"/>
          <w:sz w:val="24"/>
          <w:szCs w:val="24"/>
        </w:rPr>
        <w:t>год</w:t>
      </w:r>
      <w:r w:rsidR="007310A9">
        <w:rPr>
          <w:rFonts w:ascii="Times New Roman" w:hAnsi="Times New Roman"/>
          <w:sz w:val="24"/>
          <w:szCs w:val="24"/>
        </w:rPr>
        <w:t>ы</w:t>
      </w:r>
      <w:r w:rsidRPr="00E44BA5">
        <w:rPr>
          <w:rFonts w:ascii="Times New Roman" w:hAnsi="Times New Roman"/>
          <w:sz w:val="24"/>
          <w:szCs w:val="24"/>
        </w:rPr>
        <w:t>), в соответствии с Соглашением АА01/0556/16 от 18.07.2016 между министерством транспорта и строительства Амурской области и ООО «Газпромтрансгаз Томск», предусматривающим снижение размера возмещения в связи с планируемым завершением работ по восстановлению поврежденных большегрузным транспортом автомобильных дорог.</w:t>
      </w:r>
    </w:p>
    <w:p w:rsidR="00E44BA5" w:rsidRDefault="00E44BA5" w:rsidP="00E44BA5">
      <w:pPr>
        <w:autoSpaceDE w:val="0"/>
        <w:autoSpaceDN w:val="0"/>
        <w:adjustRightInd w:val="0"/>
        <w:spacing w:after="0" w:line="240" w:lineRule="auto"/>
        <w:ind w:firstLine="709"/>
        <w:jc w:val="both"/>
        <w:rPr>
          <w:rFonts w:ascii="Times New Roman" w:hAnsi="Times New Roman"/>
          <w:sz w:val="24"/>
          <w:szCs w:val="24"/>
        </w:rPr>
      </w:pPr>
      <w:r w:rsidRPr="00002DB5">
        <w:rPr>
          <w:rFonts w:ascii="Times New Roman" w:hAnsi="Times New Roman"/>
          <w:sz w:val="24"/>
          <w:szCs w:val="24"/>
        </w:rPr>
        <w:t xml:space="preserve">Формирование дорожного фонда в разрезе источников по прогнозу поступлений на 2018 год и плановый период 2019 и 2020 годов приведено в таблице </w:t>
      </w:r>
      <w:r w:rsidR="00002DB5" w:rsidRPr="00002DB5">
        <w:rPr>
          <w:rFonts w:ascii="Times New Roman" w:hAnsi="Times New Roman"/>
          <w:sz w:val="24"/>
          <w:szCs w:val="24"/>
        </w:rPr>
        <w:t>2</w:t>
      </w:r>
      <w:r w:rsidRPr="00002DB5">
        <w:rPr>
          <w:rFonts w:ascii="Times New Roman" w:hAnsi="Times New Roman"/>
          <w:sz w:val="24"/>
          <w:szCs w:val="24"/>
        </w:rPr>
        <w:t>.</w:t>
      </w:r>
    </w:p>
    <w:p w:rsidR="00DF4306" w:rsidRPr="00002DB5" w:rsidRDefault="00DF4306" w:rsidP="00E44BA5">
      <w:pPr>
        <w:autoSpaceDE w:val="0"/>
        <w:autoSpaceDN w:val="0"/>
        <w:adjustRightInd w:val="0"/>
        <w:spacing w:after="0" w:line="240" w:lineRule="auto"/>
        <w:ind w:firstLine="709"/>
        <w:jc w:val="both"/>
        <w:rPr>
          <w:rFonts w:ascii="Times New Roman" w:hAnsi="Times New Roman"/>
          <w:sz w:val="24"/>
          <w:szCs w:val="24"/>
        </w:rPr>
      </w:pPr>
    </w:p>
    <w:p w:rsidR="00E44BA5" w:rsidRPr="00E44BA5" w:rsidRDefault="00E44BA5" w:rsidP="00002DB5">
      <w:pPr>
        <w:autoSpaceDE w:val="0"/>
        <w:autoSpaceDN w:val="0"/>
        <w:adjustRightInd w:val="0"/>
        <w:spacing w:after="0"/>
        <w:ind w:firstLine="708"/>
        <w:jc w:val="right"/>
        <w:rPr>
          <w:rFonts w:ascii="Times New Roman" w:hAnsi="Times New Roman"/>
          <w:sz w:val="24"/>
          <w:szCs w:val="24"/>
        </w:rPr>
      </w:pPr>
      <w:r w:rsidRPr="00E44BA5">
        <w:rPr>
          <w:rFonts w:ascii="Times New Roman" w:hAnsi="Times New Roman"/>
          <w:sz w:val="24"/>
          <w:szCs w:val="24"/>
        </w:rPr>
        <w:t xml:space="preserve">Таблица </w:t>
      </w:r>
      <w:r w:rsidR="00002DB5">
        <w:rPr>
          <w:rFonts w:ascii="Times New Roman" w:hAnsi="Times New Roman"/>
          <w:sz w:val="24"/>
          <w:szCs w:val="24"/>
        </w:rPr>
        <w:t>2</w:t>
      </w:r>
    </w:p>
    <w:p w:rsidR="00E44BA5" w:rsidRPr="00E44BA5" w:rsidRDefault="00E44BA5" w:rsidP="00002DB5">
      <w:pPr>
        <w:spacing w:after="0"/>
        <w:ind w:firstLine="709"/>
        <w:jc w:val="center"/>
        <w:rPr>
          <w:rFonts w:ascii="Times New Roman" w:hAnsi="Times New Roman"/>
          <w:b/>
          <w:sz w:val="24"/>
          <w:szCs w:val="24"/>
        </w:rPr>
      </w:pPr>
      <w:r w:rsidRPr="00E44BA5">
        <w:rPr>
          <w:rFonts w:ascii="Times New Roman" w:hAnsi="Times New Roman"/>
          <w:b/>
          <w:sz w:val="24"/>
          <w:szCs w:val="24"/>
        </w:rPr>
        <w:t xml:space="preserve">Источники формирования дорожного фонда Амурской области </w:t>
      </w:r>
      <w:r w:rsidRPr="00E44BA5">
        <w:rPr>
          <w:rFonts w:ascii="Times New Roman" w:hAnsi="Times New Roman"/>
          <w:b/>
          <w:sz w:val="24"/>
          <w:szCs w:val="24"/>
        </w:rPr>
        <w:br/>
        <w:t>в 2018-2020 годах</w:t>
      </w:r>
    </w:p>
    <w:p w:rsidR="00E44BA5" w:rsidRPr="00E44BA5" w:rsidRDefault="00E44BA5" w:rsidP="00002DB5">
      <w:pPr>
        <w:spacing w:after="0" w:line="240" w:lineRule="auto"/>
        <w:ind w:firstLine="709"/>
        <w:jc w:val="right"/>
        <w:rPr>
          <w:rFonts w:ascii="Times New Roman" w:hAnsi="Times New Roman"/>
          <w:sz w:val="24"/>
          <w:szCs w:val="24"/>
        </w:rPr>
      </w:pPr>
      <w:r w:rsidRPr="00E44BA5">
        <w:rPr>
          <w:rFonts w:ascii="Times New Roman" w:hAnsi="Times New Roman"/>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gridCol w:w="1417"/>
        <w:gridCol w:w="1559"/>
      </w:tblGrid>
      <w:tr w:rsidR="00E44BA5" w:rsidRPr="00415664" w:rsidTr="00415664">
        <w:trPr>
          <w:trHeight w:val="443"/>
          <w:tblHeader/>
          <w:jc w:val="center"/>
        </w:trPr>
        <w:tc>
          <w:tcPr>
            <w:tcW w:w="4928" w:type="dxa"/>
            <w:shd w:val="clear" w:color="auto" w:fill="auto"/>
            <w:vAlign w:val="center"/>
          </w:tcPr>
          <w:p w:rsidR="00E44BA5" w:rsidRPr="00415664" w:rsidRDefault="00E44BA5" w:rsidP="006E3062">
            <w:pPr>
              <w:jc w:val="center"/>
              <w:rPr>
                <w:rFonts w:ascii="Times New Roman" w:hAnsi="Times New Roman"/>
                <w:b/>
                <w:sz w:val="24"/>
                <w:szCs w:val="24"/>
              </w:rPr>
            </w:pPr>
            <w:r w:rsidRPr="00415664">
              <w:rPr>
                <w:rFonts w:ascii="Times New Roman" w:hAnsi="Times New Roman"/>
                <w:b/>
                <w:sz w:val="24"/>
                <w:szCs w:val="24"/>
              </w:rPr>
              <w:t>Источники</w:t>
            </w:r>
          </w:p>
        </w:tc>
        <w:tc>
          <w:tcPr>
            <w:tcW w:w="1843" w:type="dxa"/>
            <w:shd w:val="clear" w:color="auto" w:fill="auto"/>
            <w:vAlign w:val="center"/>
          </w:tcPr>
          <w:p w:rsidR="00E44BA5" w:rsidRPr="00415664" w:rsidRDefault="00E44BA5" w:rsidP="006E3062">
            <w:pPr>
              <w:jc w:val="center"/>
              <w:rPr>
                <w:rFonts w:ascii="Times New Roman" w:hAnsi="Times New Roman"/>
                <w:b/>
                <w:sz w:val="24"/>
                <w:szCs w:val="24"/>
              </w:rPr>
            </w:pPr>
            <w:r w:rsidRPr="00415664">
              <w:rPr>
                <w:rFonts w:ascii="Times New Roman" w:hAnsi="Times New Roman"/>
                <w:b/>
                <w:sz w:val="24"/>
                <w:szCs w:val="24"/>
              </w:rPr>
              <w:t>2018 год</w:t>
            </w:r>
          </w:p>
        </w:tc>
        <w:tc>
          <w:tcPr>
            <w:tcW w:w="1417" w:type="dxa"/>
            <w:shd w:val="clear" w:color="auto" w:fill="auto"/>
            <w:vAlign w:val="center"/>
          </w:tcPr>
          <w:p w:rsidR="00E44BA5" w:rsidRPr="00415664" w:rsidRDefault="00E44BA5" w:rsidP="006E3062">
            <w:pPr>
              <w:jc w:val="center"/>
              <w:rPr>
                <w:rFonts w:ascii="Times New Roman" w:hAnsi="Times New Roman"/>
                <w:b/>
                <w:sz w:val="24"/>
                <w:szCs w:val="24"/>
              </w:rPr>
            </w:pPr>
            <w:r w:rsidRPr="00415664">
              <w:rPr>
                <w:rFonts w:ascii="Times New Roman" w:hAnsi="Times New Roman"/>
                <w:b/>
                <w:sz w:val="24"/>
                <w:szCs w:val="24"/>
              </w:rPr>
              <w:t>2019 год</w:t>
            </w:r>
          </w:p>
        </w:tc>
        <w:tc>
          <w:tcPr>
            <w:tcW w:w="1559" w:type="dxa"/>
            <w:shd w:val="clear" w:color="auto" w:fill="auto"/>
            <w:vAlign w:val="center"/>
          </w:tcPr>
          <w:p w:rsidR="00E44BA5" w:rsidRPr="00415664" w:rsidRDefault="00E44BA5" w:rsidP="006E3062">
            <w:pPr>
              <w:jc w:val="center"/>
              <w:rPr>
                <w:rFonts w:ascii="Times New Roman" w:hAnsi="Times New Roman"/>
                <w:b/>
                <w:sz w:val="24"/>
                <w:szCs w:val="24"/>
              </w:rPr>
            </w:pPr>
            <w:r w:rsidRPr="00415664">
              <w:rPr>
                <w:rFonts w:ascii="Times New Roman" w:hAnsi="Times New Roman"/>
                <w:b/>
                <w:sz w:val="24"/>
                <w:szCs w:val="24"/>
              </w:rPr>
              <w:t>2020 год</w:t>
            </w:r>
          </w:p>
        </w:tc>
      </w:tr>
      <w:tr w:rsidR="00415664" w:rsidRPr="00415664" w:rsidTr="00415664">
        <w:trPr>
          <w:trHeight w:val="200"/>
          <w:jc w:val="center"/>
        </w:trPr>
        <w:tc>
          <w:tcPr>
            <w:tcW w:w="4928" w:type="dxa"/>
            <w:shd w:val="clear" w:color="auto" w:fill="auto"/>
          </w:tcPr>
          <w:p w:rsidR="00E44BA5" w:rsidRPr="00415664" w:rsidRDefault="00E44BA5" w:rsidP="00002DB5">
            <w:pPr>
              <w:spacing w:after="0" w:line="240" w:lineRule="auto"/>
              <w:rPr>
                <w:rFonts w:ascii="Times New Roman" w:hAnsi="Times New Roman"/>
                <w:lang w:val="en-US"/>
              </w:rPr>
            </w:pPr>
            <w:r w:rsidRPr="00415664">
              <w:rPr>
                <w:rFonts w:ascii="Times New Roman" w:hAnsi="Times New Roman"/>
              </w:rPr>
              <w:t>Основные</w:t>
            </w:r>
            <w:r w:rsidRPr="00415664">
              <w:rPr>
                <w:rFonts w:ascii="Times New Roman" w:hAnsi="Times New Roman"/>
                <w:lang w:val="en-US"/>
              </w:rPr>
              <w:t>:</w:t>
            </w:r>
          </w:p>
        </w:tc>
        <w:tc>
          <w:tcPr>
            <w:tcW w:w="1843" w:type="dxa"/>
            <w:shd w:val="clear" w:color="auto" w:fill="auto"/>
          </w:tcPr>
          <w:p w:rsidR="00E44BA5" w:rsidRPr="00415664" w:rsidRDefault="00E44BA5" w:rsidP="00002DB5">
            <w:pPr>
              <w:spacing w:after="0" w:line="240" w:lineRule="auto"/>
              <w:jc w:val="center"/>
              <w:rPr>
                <w:rFonts w:ascii="Times New Roman" w:hAnsi="Times New Roman"/>
              </w:rPr>
            </w:pPr>
          </w:p>
        </w:tc>
        <w:tc>
          <w:tcPr>
            <w:tcW w:w="1417" w:type="dxa"/>
            <w:shd w:val="clear" w:color="auto" w:fill="auto"/>
          </w:tcPr>
          <w:p w:rsidR="00E44BA5" w:rsidRPr="00415664" w:rsidRDefault="00E44BA5" w:rsidP="00002DB5">
            <w:pPr>
              <w:spacing w:after="0" w:line="240" w:lineRule="auto"/>
              <w:jc w:val="center"/>
              <w:rPr>
                <w:rFonts w:ascii="Times New Roman" w:hAnsi="Times New Roman"/>
              </w:rPr>
            </w:pPr>
          </w:p>
        </w:tc>
        <w:tc>
          <w:tcPr>
            <w:tcW w:w="1559" w:type="dxa"/>
            <w:shd w:val="clear" w:color="auto" w:fill="auto"/>
          </w:tcPr>
          <w:p w:rsidR="00E44BA5" w:rsidRPr="00415664" w:rsidRDefault="00E44BA5" w:rsidP="00002DB5">
            <w:pPr>
              <w:spacing w:after="0" w:line="240" w:lineRule="auto"/>
              <w:jc w:val="center"/>
              <w:rPr>
                <w:rFonts w:ascii="Times New Roman" w:hAnsi="Times New Roman"/>
              </w:rPr>
            </w:pPr>
          </w:p>
        </w:tc>
      </w:tr>
      <w:tr w:rsidR="00E44BA5" w:rsidRPr="00E44BA5" w:rsidTr="00415664">
        <w:trPr>
          <w:trHeight w:val="430"/>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Доходы от уплаты акцизов на дизельное топливо</w:t>
            </w:r>
          </w:p>
          <w:p w:rsidR="00E44BA5" w:rsidRPr="00E44BA5" w:rsidRDefault="00E44BA5" w:rsidP="00002DB5">
            <w:pPr>
              <w:spacing w:after="0" w:line="240" w:lineRule="auto"/>
              <w:rPr>
                <w:rFonts w:ascii="Times New Roman" w:hAnsi="Times New Roman"/>
                <w:i/>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645 258,0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19,2</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719 847,0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23,2</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719 847,0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23,1</w:t>
            </w:r>
          </w:p>
        </w:tc>
      </w:tr>
      <w:tr w:rsidR="00E44BA5" w:rsidRPr="00E44BA5" w:rsidTr="00415664">
        <w:trPr>
          <w:trHeight w:val="836"/>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Доходы от уплаты акцизов на моторные масла для дизельных и (или) карбюраторных (инжекторных) двигателей</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5 876,0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0,2</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6 193,0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0,2</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6 193,0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0,2</w:t>
            </w:r>
          </w:p>
        </w:tc>
      </w:tr>
      <w:tr w:rsidR="00415664" w:rsidRPr="00415664" w:rsidTr="00415664">
        <w:trPr>
          <w:trHeight w:val="693"/>
          <w:jc w:val="center"/>
        </w:trPr>
        <w:tc>
          <w:tcPr>
            <w:tcW w:w="4928" w:type="dxa"/>
            <w:shd w:val="clear" w:color="auto" w:fill="auto"/>
          </w:tcPr>
          <w:p w:rsidR="00E44BA5" w:rsidRPr="00415664" w:rsidRDefault="00E44BA5" w:rsidP="00002DB5">
            <w:pPr>
              <w:spacing w:after="0" w:line="240" w:lineRule="auto"/>
              <w:rPr>
                <w:rFonts w:ascii="Times New Roman" w:hAnsi="Times New Roman"/>
              </w:rPr>
            </w:pPr>
            <w:r w:rsidRPr="00415664">
              <w:rPr>
                <w:rFonts w:ascii="Times New Roman" w:hAnsi="Times New Roman"/>
              </w:rPr>
              <w:t>Доходы от уплаты акцизов на автомобильный бензин, производимый на территории РФ</w:t>
            </w:r>
          </w:p>
          <w:p w:rsidR="00E44BA5" w:rsidRPr="00415664" w:rsidRDefault="00E44BA5" w:rsidP="00002DB5">
            <w:pPr>
              <w:spacing w:after="0" w:line="240" w:lineRule="auto"/>
              <w:rPr>
                <w:rFonts w:ascii="Times New Roman" w:hAnsi="Times New Roman"/>
              </w:rPr>
            </w:pPr>
            <w:r w:rsidRPr="00415664">
              <w:rPr>
                <w:rFonts w:ascii="Times New Roman" w:hAnsi="Times New Roman"/>
                <w:i/>
              </w:rPr>
              <w:t>Удельный вес в общих доходах, %</w:t>
            </w:r>
          </w:p>
        </w:tc>
        <w:tc>
          <w:tcPr>
            <w:tcW w:w="1843" w:type="dxa"/>
            <w:shd w:val="clear" w:color="auto" w:fill="auto"/>
          </w:tcPr>
          <w:p w:rsidR="00E44BA5" w:rsidRPr="00415664" w:rsidRDefault="00E44BA5" w:rsidP="00002DB5">
            <w:pPr>
              <w:spacing w:after="0" w:line="240" w:lineRule="auto"/>
              <w:jc w:val="center"/>
              <w:rPr>
                <w:rFonts w:ascii="Times New Roman" w:hAnsi="Times New Roman"/>
              </w:rPr>
            </w:pPr>
          </w:p>
          <w:p w:rsidR="00E44BA5" w:rsidRPr="00415664" w:rsidRDefault="00E44BA5" w:rsidP="00002DB5">
            <w:pPr>
              <w:spacing w:after="0" w:line="240" w:lineRule="auto"/>
              <w:jc w:val="center"/>
              <w:rPr>
                <w:rFonts w:ascii="Times New Roman" w:hAnsi="Times New Roman"/>
              </w:rPr>
            </w:pPr>
            <w:r w:rsidRPr="00415664">
              <w:rPr>
                <w:rFonts w:ascii="Times New Roman" w:hAnsi="Times New Roman"/>
              </w:rPr>
              <w:t>1 338 423,0</w:t>
            </w:r>
          </w:p>
          <w:p w:rsidR="00E44BA5" w:rsidRPr="00415664" w:rsidRDefault="00E44BA5" w:rsidP="00002DB5">
            <w:pPr>
              <w:spacing w:after="0" w:line="240" w:lineRule="auto"/>
              <w:jc w:val="center"/>
              <w:rPr>
                <w:rFonts w:ascii="Times New Roman" w:hAnsi="Times New Roman"/>
                <w:i/>
              </w:rPr>
            </w:pPr>
            <w:r w:rsidRPr="00415664">
              <w:rPr>
                <w:rFonts w:ascii="Times New Roman" w:hAnsi="Times New Roman"/>
                <w:i/>
              </w:rPr>
              <w:t>39,9</w:t>
            </w:r>
          </w:p>
        </w:tc>
        <w:tc>
          <w:tcPr>
            <w:tcW w:w="1417" w:type="dxa"/>
            <w:shd w:val="clear" w:color="auto" w:fill="auto"/>
          </w:tcPr>
          <w:p w:rsidR="00E44BA5" w:rsidRPr="00415664" w:rsidRDefault="00E44BA5" w:rsidP="00002DB5">
            <w:pPr>
              <w:spacing w:after="0" w:line="240" w:lineRule="auto"/>
              <w:jc w:val="center"/>
              <w:rPr>
                <w:rFonts w:ascii="Times New Roman" w:hAnsi="Times New Roman"/>
              </w:rPr>
            </w:pPr>
          </w:p>
          <w:p w:rsidR="00E44BA5" w:rsidRPr="00415664" w:rsidRDefault="00E44BA5" w:rsidP="00002DB5">
            <w:pPr>
              <w:spacing w:after="0" w:line="240" w:lineRule="auto"/>
              <w:jc w:val="center"/>
              <w:rPr>
                <w:rFonts w:ascii="Times New Roman" w:hAnsi="Times New Roman"/>
              </w:rPr>
            </w:pPr>
            <w:r w:rsidRPr="00415664">
              <w:rPr>
                <w:rFonts w:ascii="Times New Roman" w:hAnsi="Times New Roman"/>
              </w:rPr>
              <w:t>1 500 943,0</w:t>
            </w:r>
          </w:p>
          <w:p w:rsidR="00E44BA5" w:rsidRPr="00415664" w:rsidRDefault="00E44BA5" w:rsidP="00002DB5">
            <w:pPr>
              <w:spacing w:after="0" w:line="240" w:lineRule="auto"/>
              <w:jc w:val="center"/>
              <w:rPr>
                <w:rFonts w:ascii="Times New Roman" w:hAnsi="Times New Roman"/>
                <w:i/>
              </w:rPr>
            </w:pPr>
            <w:r w:rsidRPr="00415664">
              <w:rPr>
                <w:rFonts w:ascii="Times New Roman" w:hAnsi="Times New Roman"/>
                <w:i/>
              </w:rPr>
              <w:t>48,4</w:t>
            </w:r>
          </w:p>
        </w:tc>
        <w:tc>
          <w:tcPr>
            <w:tcW w:w="1559" w:type="dxa"/>
            <w:shd w:val="clear" w:color="auto" w:fill="auto"/>
          </w:tcPr>
          <w:p w:rsidR="00E44BA5" w:rsidRPr="00415664" w:rsidRDefault="00E44BA5" w:rsidP="00002DB5">
            <w:pPr>
              <w:spacing w:after="0" w:line="240" w:lineRule="auto"/>
              <w:jc w:val="center"/>
              <w:rPr>
                <w:rFonts w:ascii="Times New Roman" w:hAnsi="Times New Roman"/>
              </w:rPr>
            </w:pPr>
          </w:p>
          <w:p w:rsidR="00E44BA5" w:rsidRPr="00415664" w:rsidRDefault="00E44BA5" w:rsidP="00002DB5">
            <w:pPr>
              <w:spacing w:after="0" w:line="240" w:lineRule="auto"/>
              <w:jc w:val="center"/>
              <w:rPr>
                <w:rFonts w:ascii="Times New Roman" w:hAnsi="Times New Roman"/>
              </w:rPr>
            </w:pPr>
            <w:r w:rsidRPr="00415664">
              <w:rPr>
                <w:rFonts w:ascii="Times New Roman" w:hAnsi="Times New Roman"/>
              </w:rPr>
              <w:t>1 500 943,0</w:t>
            </w:r>
          </w:p>
          <w:p w:rsidR="00E44BA5" w:rsidRPr="00415664" w:rsidRDefault="00E44BA5" w:rsidP="00002DB5">
            <w:pPr>
              <w:spacing w:after="0" w:line="240" w:lineRule="auto"/>
              <w:jc w:val="center"/>
              <w:rPr>
                <w:rFonts w:ascii="Times New Roman" w:hAnsi="Times New Roman"/>
                <w:i/>
              </w:rPr>
            </w:pPr>
            <w:r w:rsidRPr="00415664">
              <w:rPr>
                <w:rFonts w:ascii="Times New Roman" w:hAnsi="Times New Roman"/>
                <w:i/>
              </w:rPr>
              <w:t>48,2</w:t>
            </w:r>
          </w:p>
        </w:tc>
      </w:tr>
      <w:tr w:rsidR="00E44BA5" w:rsidRPr="00E44BA5" w:rsidTr="00415664">
        <w:trPr>
          <w:trHeight w:val="694"/>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Транспортный налог</w:t>
            </w:r>
          </w:p>
          <w:p w:rsidR="00E44BA5" w:rsidRPr="00E44BA5" w:rsidRDefault="00E44BA5" w:rsidP="00002DB5">
            <w:pPr>
              <w:spacing w:after="0" w:line="240" w:lineRule="auto"/>
              <w:rPr>
                <w:rFonts w:ascii="Times New Roman" w:hAnsi="Times New Roman"/>
              </w:rPr>
            </w:pPr>
            <w:r w:rsidRPr="00E44BA5">
              <w:rPr>
                <w:rFonts w:ascii="Times New Roman" w:hAnsi="Times New Roman"/>
              </w:rPr>
              <w:t>(с организаций и физических лиц)</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888 095,0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26,5</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906 632,0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29,2</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914 578,0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29,4</w:t>
            </w:r>
          </w:p>
        </w:tc>
      </w:tr>
      <w:tr w:rsidR="00415664" w:rsidRPr="00415664" w:rsidTr="00415664">
        <w:trPr>
          <w:trHeight w:val="264"/>
          <w:jc w:val="center"/>
        </w:trPr>
        <w:tc>
          <w:tcPr>
            <w:tcW w:w="4928" w:type="dxa"/>
            <w:shd w:val="clear" w:color="auto" w:fill="auto"/>
          </w:tcPr>
          <w:p w:rsidR="00E44BA5" w:rsidRPr="00415664" w:rsidRDefault="00E44BA5" w:rsidP="00002DB5">
            <w:pPr>
              <w:spacing w:after="0" w:line="240" w:lineRule="auto"/>
              <w:rPr>
                <w:rFonts w:ascii="Times New Roman" w:hAnsi="Times New Roman"/>
              </w:rPr>
            </w:pPr>
            <w:r w:rsidRPr="00415664">
              <w:rPr>
                <w:rFonts w:ascii="Times New Roman" w:hAnsi="Times New Roman"/>
              </w:rPr>
              <w:t>Прочие</w:t>
            </w:r>
            <w:r w:rsidRPr="00415664">
              <w:rPr>
                <w:rFonts w:ascii="Times New Roman" w:hAnsi="Times New Roman"/>
                <w:lang w:val="en-US"/>
              </w:rPr>
              <w:t>:</w:t>
            </w:r>
            <w:r w:rsidRPr="00415664">
              <w:rPr>
                <w:rFonts w:ascii="Times New Roman" w:hAnsi="Times New Roman"/>
              </w:rPr>
              <w:t xml:space="preserve"> </w:t>
            </w:r>
          </w:p>
        </w:tc>
        <w:tc>
          <w:tcPr>
            <w:tcW w:w="1843" w:type="dxa"/>
            <w:shd w:val="clear" w:color="auto" w:fill="auto"/>
          </w:tcPr>
          <w:p w:rsidR="00E44BA5" w:rsidRPr="00415664" w:rsidRDefault="00E44BA5" w:rsidP="00002DB5">
            <w:pPr>
              <w:spacing w:after="0" w:line="240" w:lineRule="auto"/>
              <w:jc w:val="center"/>
              <w:rPr>
                <w:rFonts w:ascii="Times New Roman" w:hAnsi="Times New Roman"/>
              </w:rPr>
            </w:pPr>
          </w:p>
        </w:tc>
        <w:tc>
          <w:tcPr>
            <w:tcW w:w="1417" w:type="dxa"/>
            <w:shd w:val="clear" w:color="auto" w:fill="auto"/>
          </w:tcPr>
          <w:p w:rsidR="00E44BA5" w:rsidRPr="00415664" w:rsidRDefault="00E44BA5" w:rsidP="00002DB5">
            <w:pPr>
              <w:spacing w:after="0" w:line="240" w:lineRule="auto"/>
              <w:jc w:val="center"/>
              <w:rPr>
                <w:rFonts w:ascii="Times New Roman" w:hAnsi="Times New Roman"/>
              </w:rPr>
            </w:pPr>
          </w:p>
        </w:tc>
        <w:tc>
          <w:tcPr>
            <w:tcW w:w="1559" w:type="dxa"/>
            <w:shd w:val="clear" w:color="auto" w:fill="auto"/>
          </w:tcPr>
          <w:p w:rsidR="00E44BA5" w:rsidRPr="00415664" w:rsidRDefault="00E44BA5" w:rsidP="00002DB5">
            <w:pPr>
              <w:spacing w:after="0" w:line="240" w:lineRule="auto"/>
              <w:jc w:val="center"/>
              <w:rPr>
                <w:rFonts w:ascii="Times New Roman" w:hAnsi="Times New Roman"/>
              </w:rPr>
            </w:pPr>
          </w:p>
        </w:tc>
      </w:tr>
      <w:tr w:rsidR="00E44BA5" w:rsidRPr="00E44BA5" w:rsidTr="00415664">
        <w:trPr>
          <w:trHeight w:val="695"/>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Доходы от уплаты акцизов на прямогонный бензин, производимый на территории РФ</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-133 906,0</w:t>
            </w: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-3,8</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-138 052,0</w:t>
            </w: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-4,4</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-138 052,0</w:t>
            </w: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-4,3</w:t>
            </w:r>
          </w:p>
        </w:tc>
      </w:tr>
      <w:tr w:rsidR="00E44BA5" w:rsidRPr="00E44BA5" w:rsidTr="00415664">
        <w:trPr>
          <w:trHeight w:val="1269"/>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Государственная пошлина за выдачу органом исполнительной власти субъекта РФ специального разрешения на движение по а/дорогам транспортных средств, осуществляющих перевозки опасных, тяжеловесных и (или) крупногабаритных грузов</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411,2</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459,2</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454,4</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r>
      <w:tr w:rsidR="00E44BA5" w:rsidRPr="00E44BA5" w:rsidTr="00415664">
        <w:trPr>
          <w:trHeight w:val="1245"/>
          <w:jc w:val="center"/>
        </w:trPr>
        <w:tc>
          <w:tcPr>
            <w:tcW w:w="4928" w:type="dxa"/>
            <w:shd w:val="clear" w:color="auto" w:fill="auto"/>
          </w:tcPr>
          <w:p w:rsidR="00E44BA5" w:rsidRPr="00E44BA5" w:rsidRDefault="00E44BA5" w:rsidP="00002DB5">
            <w:pPr>
              <w:spacing w:after="0" w:line="240" w:lineRule="auto"/>
              <w:rPr>
                <w:rFonts w:ascii="Times New Roman" w:hAnsi="Times New Roman"/>
                <w:i/>
              </w:rPr>
            </w:pPr>
            <w:r w:rsidRPr="00E44BA5">
              <w:rPr>
                <w:rFonts w:ascii="Times New Roman" w:hAnsi="Times New Roman"/>
              </w:rPr>
              <w:t>Доходы от платных услуг, оказываемых государственными казенными учреждениями, осуществляющих дорожную деятельность в отношении автомобильных дорог общего пользования регионального или межмуниципального значения</w:t>
            </w:r>
            <w:r w:rsidRPr="00E44BA5">
              <w:rPr>
                <w:rFonts w:ascii="Times New Roman" w:hAnsi="Times New Roman"/>
                <w:i/>
              </w:rPr>
              <w:t xml:space="preserve"> </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500,0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500,0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500,0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r>
      <w:tr w:rsidR="00E44BA5" w:rsidRPr="00E44BA5" w:rsidTr="00415664">
        <w:trPr>
          <w:trHeight w:val="236"/>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Доходы, поступающие в порядке возмещения расходов, понесенных в связи с эксплуатацией имущества субъектов Российской Федерации</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601 988,9</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17,9</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104 845,2</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3,4</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104 845,2</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3,4</w:t>
            </w:r>
          </w:p>
        </w:tc>
      </w:tr>
      <w:tr w:rsidR="00E44BA5" w:rsidRPr="00E44BA5" w:rsidTr="00DD2064">
        <w:trPr>
          <w:trHeight w:val="595"/>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 xml:space="preserve">Денежные взыскания (штрафы) за нарушения правил перевозки крупногабаритных и тяжеловесных грузов по автомобильным дорогам </w:t>
            </w:r>
            <w:r w:rsidRPr="00E44BA5">
              <w:rPr>
                <w:rFonts w:ascii="Times New Roman" w:hAnsi="Times New Roman"/>
              </w:rPr>
              <w:lastRenderedPageBreak/>
              <w:t>общего пользования</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lastRenderedPageBreak/>
              <w:t>115,0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lastRenderedPageBreak/>
              <w:t>115,0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lastRenderedPageBreak/>
              <w:t>115,0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r>
      <w:tr w:rsidR="00E44BA5" w:rsidRPr="00E44BA5" w:rsidTr="00415664">
        <w:trPr>
          <w:trHeight w:val="1631"/>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lastRenderedPageBreak/>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 </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5 000,0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0,1</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300,0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300,0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r>
      <w:tr w:rsidR="00E44BA5" w:rsidRPr="00E44BA5" w:rsidTr="00415664">
        <w:trPr>
          <w:trHeight w:val="499"/>
          <w:jc w:val="center"/>
        </w:trPr>
        <w:tc>
          <w:tcPr>
            <w:tcW w:w="4928" w:type="dxa"/>
            <w:shd w:val="clear" w:color="auto" w:fill="auto"/>
          </w:tcPr>
          <w:p w:rsidR="00E44BA5" w:rsidRPr="00E44BA5" w:rsidRDefault="00E44BA5" w:rsidP="00002DB5">
            <w:pPr>
              <w:spacing w:after="0" w:line="240" w:lineRule="auto"/>
              <w:rPr>
                <w:rFonts w:ascii="Times New Roman" w:hAnsi="Times New Roman"/>
              </w:rPr>
            </w:pPr>
            <w:r w:rsidRPr="00E44BA5">
              <w:rPr>
                <w:rFonts w:ascii="Times New Roman" w:hAnsi="Times New Roman"/>
              </w:rPr>
              <w:t>Доходы от взыскания неустойки (штрафа, пени) за неисполнение или ненадлежащее исполнение обязательств по государственному контракту (договору) на выполнение работ по проектированию, строительству, реконструкции, капитальному ремонту, ремонту и содержанию автомобильных дорог</w:t>
            </w:r>
          </w:p>
          <w:p w:rsidR="00E44BA5" w:rsidRPr="00E44BA5" w:rsidRDefault="00E44BA5" w:rsidP="00002DB5">
            <w:pPr>
              <w:spacing w:after="0" w:line="240" w:lineRule="auto"/>
              <w:rPr>
                <w:rFonts w:ascii="Times New Roman" w:hAnsi="Times New Roman"/>
              </w:rPr>
            </w:pPr>
            <w:r w:rsidRPr="00E44BA5">
              <w:rPr>
                <w:rFonts w:ascii="Times New Roman" w:hAnsi="Times New Roman"/>
                <w:i/>
              </w:rPr>
              <w:t>Удельный вес в общих доходах, %</w:t>
            </w:r>
          </w:p>
        </w:tc>
        <w:tc>
          <w:tcPr>
            <w:tcW w:w="1843" w:type="dxa"/>
            <w:shd w:val="clear" w:color="auto" w:fill="auto"/>
          </w:tcPr>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002DB5" w:rsidRDefault="00002DB5"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2 000,0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417" w:type="dxa"/>
            <w:shd w:val="clear" w:color="auto" w:fill="auto"/>
          </w:tcPr>
          <w:p w:rsidR="00E44BA5" w:rsidRPr="00E44BA5" w:rsidRDefault="00E44BA5" w:rsidP="00002DB5">
            <w:pPr>
              <w:spacing w:after="0" w:line="240" w:lineRule="auto"/>
              <w:jc w:val="center"/>
              <w:rPr>
                <w:rFonts w:ascii="Times New Roman" w:hAnsi="Times New Roman"/>
              </w:rPr>
            </w:pPr>
          </w:p>
          <w:p w:rsidR="00E44BA5" w:rsidRDefault="00E44BA5"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Default="00415664" w:rsidP="00002DB5">
            <w:pPr>
              <w:spacing w:after="0" w:line="240" w:lineRule="auto"/>
              <w:jc w:val="center"/>
              <w:rPr>
                <w:rFonts w:ascii="Times New Roman" w:hAnsi="Times New Roman"/>
              </w:rPr>
            </w:pPr>
          </w:p>
          <w:p w:rsidR="00415664" w:rsidRPr="00E44BA5" w:rsidRDefault="00415664"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1 700,0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c>
          <w:tcPr>
            <w:tcW w:w="1559" w:type="dxa"/>
            <w:shd w:val="clear" w:color="auto" w:fill="auto"/>
          </w:tcPr>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p>
          <w:p w:rsidR="00E44BA5" w:rsidRPr="00E44BA5" w:rsidRDefault="00E44BA5" w:rsidP="00002DB5">
            <w:pPr>
              <w:spacing w:after="0" w:line="240" w:lineRule="auto"/>
              <w:jc w:val="center"/>
              <w:rPr>
                <w:rFonts w:ascii="Times New Roman" w:hAnsi="Times New Roman"/>
              </w:rPr>
            </w:pPr>
            <w:r w:rsidRPr="00E44BA5">
              <w:rPr>
                <w:rFonts w:ascii="Times New Roman" w:hAnsi="Times New Roman"/>
              </w:rPr>
              <w:t>1 500,0</w:t>
            </w:r>
          </w:p>
          <w:p w:rsidR="00E44BA5" w:rsidRPr="00E44BA5" w:rsidRDefault="00E44BA5" w:rsidP="00002DB5">
            <w:pPr>
              <w:spacing w:after="0" w:line="240" w:lineRule="auto"/>
              <w:jc w:val="center"/>
              <w:rPr>
                <w:rFonts w:ascii="Times New Roman" w:hAnsi="Times New Roman"/>
                <w:i/>
              </w:rPr>
            </w:pPr>
            <w:r w:rsidRPr="00E44BA5">
              <w:rPr>
                <w:rFonts w:ascii="Times New Roman" w:hAnsi="Times New Roman"/>
                <w:i/>
              </w:rPr>
              <w:t>0</w:t>
            </w:r>
          </w:p>
        </w:tc>
      </w:tr>
      <w:tr w:rsidR="00E44BA5" w:rsidRPr="00415664" w:rsidTr="00DD2064">
        <w:trPr>
          <w:trHeight w:val="321"/>
          <w:jc w:val="center"/>
        </w:trPr>
        <w:tc>
          <w:tcPr>
            <w:tcW w:w="4928" w:type="dxa"/>
            <w:shd w:val="clear" w:color="auto" w:fill="auto"/>
          </w:tcPr>
          <w:p w:rsidR="00E44BA5" w:rsidRPr="00415664" w:rsidRDefault="00E44BA5" w:rsidP="00002DB5">
            <w:pPr>
              <w:spacing w:after="0" w:line="240" w:lineRule="auto"/>
              <w:rPr>
                <w:rFonts w:ascii="Times New Roman" w:hAnsi="Times New Roman"/>
                <w:b/>
                <w:sz w:val="24"/>
                <w:szCs w:val="24"/>
              </w:rPr>
            </w:pPr>
            <w:r w:rsidRPr="00415664">
              <w:rPr>
                <w:rFonts w:ascii="Times New Roman" w:hAnsi="Times New Roman"/>
                <w:b/>
                <w:sz w:val="24"/>
                <w:szCs w:val="24"/>
              </w:rPr>
              <w:t>Итого дорожный фонд</w:t>
            </w:r>
          </w:p>
        </w:tc>
        <w:tc>
          <w:tcPr>
            <w:tcW w:w="1843" w:type="dxa"/>
            <w:shd w:val="clear" w:color="auto" w:fill="auto"/>
          </w:tcPr>
          <w:p w:rsidR="00E44BA5" w:rsidRPr="00415664" w:rsidRDefault="00E44BA5" w:rsidP="00002DB5">
            <w:pPr>
              <w:spacing w:after="0" w:line="240" w:lineRule="auto"/>
              <w:jc w:val="center"/>
              <w:rPr>
                <w:rFonts w:ascii="Times New Roman" w:hAnsi="Times New Roman"/>
                <w:b/>
                <w:sz w:val="24"/>
                <w:szCs w:val="24"/>
              </w:rPr>
            </w:pPr>
            <w:r w:rsidRPr="00415664">
              <w:rPr>
                <w:rFonts w:ascii="Times New Roman" w:hAnsi="Times New Roman"/>
                <w:b/>
                <w:sz w:val="24"/>
                <w:szCs w:val="24"/>
              </w:rPr>
              <w:t>3 353 761,1</w:t>
            </w:r>
          </w:p>
        </w:tc>
        <w:tc>
          <w:tcPr>
            <w:tcW w:w="1417" w:type="dxa"/>
            <w:shd w:val="clear" w:color="auto" w:fill="auto"/>
          </w:tcPr>
          <w:p w:rsidR="00E44BA5" w:rsidRPr="00415664" w:rsidRDefault="00E44BA5" w:rsidP="00002DB5">
            <w:pPr>
              <w:spacing w:after="0" w:line="240" w:lineRule="auto"/>
              <w:jc w:val="center"/>
              <w:rPr>
                <w:rFonts w:ascii="Times New Roman" w:hAnsi="Times New Roman"/>
                <w:b/>
                <w:sz w:val="24"/>
                <w:szCs w:val="24"/>
              </w:rPr>
            </w:pPr>
            <w:r w:rsidRPr="00415664">
              <w:rPr>
                <w:rFonts w:ascii="Times New Roman" w:hAnsi="Times New Roman"/>
                <w:b/>
                <w:sz w:val="24"/>
                <w:szCs w:val="24"/>
              </w:rPr>
              <w:t>3 103 482,4</w:t>
            </w:r>
          </w:p>
        </w:tc>
        <w:tc>
          <w:tcPr>
            <w:tcW w:w="1559" w:type="dxa"/>
            <w:shd w:val="clear" w:color="auto" w:fill="auto"/>
          </w:tcPr>
          <w:p w:rsidR="00E44BA5" w:rsidRPr="00415664" w:rsidRDefault="00E44BA5" w:rsidP="00002DB5">
            <w:pPr>
              <w:spacing w:after="0" w:line="240" w:lineRule="auto"/>
              <w:jc w:val="center"/>
              <w:rPr>
                <w:rFonts w:ascii="Times New Roman" w:hAnsi="Times New Roman"/>
                <w:b/>
                <w:sz w:val="24"/>
                <w:szCs w:val="24"/>
              </w:rPr>
            </w:pPr>
            <w:r w:rsidRPr="00415664">
              <w:rPr>
                <w:rFonts w:ascii="Times New Roman" w:hAnsi="Times New Roman"/>
                <w:b/>
                <w:sz w:val="24"/>
                <w:szCs w:val="24"/>
              </w:rPr>
              <w:t>3 111 223,6</w:t>
            </w:r>
          </w:p>
        </w:tc>
      </w:tr>
    </w:tbl>
    <w:p w:rsidR="00002DB5" w:rsidRDefault="00002DB5" w:rsidP="00415664">
      <w:pPr>
        <w:autoSpaceDE w:val="0"/>
        <w:autoSpaceDN w:val="0"/>
        <w:adjustRightInd w:val="0"/>
        <w:spacing w:after="0"/>
        <w:ind w:firstLine="708"/>
        <w:jc w:val="both"/>
        <w:rPr>
          <w:rFonts w:ascii="Times New Roman" w:hAnsi="Times New Roman"/>
          <w:sz w:val="24"/>
          <w:szCs w:val="24"/>
        </w:rPr>
      </w:pPr>
    </w:p>
    <w:p w:rsidR="00E44BA5" w:rsidRDefault="00E44BA5" w:rsidP="00415664">
      <w:pPr>
        <w:autoSpaceDE w:val="0"/>
        <w:autoSpaceDN w:val="0"/>
        <w:adjustRightInd w:val="0"/>
        <w:spacing w:after="0"/>
        <w:ind w:firstLine="708"/>
        <w:jc w:val="both"/>
        <w:rPr>
          <w:rFonts w:ascii="Times New Roman" w:hAnsi="Times New Roman"/>
          <w:sz w:val="24"/>
          <w:szCs w:val="24"/>
        </w:rPr>
      </w:pPr>
      <w:r w:rsidRPr="00002DB5">
        <w:rPr>
          <w:rFonts w:ascii="Times New Roman" w:hAnsi="Times New Roman"/>
          <w:sz w:val="24"/>
          <w:szCs w:val="24"/>
        </w:rPr>
        <w:t xml:space="preserve">Структура источников формирования дорожного фонда приведена на рисунке </w:t>
      </w:r>
      <w:r w:rsidR="00002DB5" w:rsidRPr="00002DB5">
        <w:rPr>
          <w:rFonts w:ascii="Times New Roman" w:hAnsi="Times New Roman"/>
          <w:sz w:val="24"/>
          <w:szCs w:val="24"/>
        </w:rPr>
        <w:t>15</w:t>
      </w:r>
      <w:r w:rsidRPr="00002DB5">
        <w:rPr>
          <w:rFonts w:ascii="Times New Roman" w:hAnsi="Times New Roman"/>
          <w:sz w:val="24"/>
          <w:szCs w:val="24"/>
        </w:rPr>
        <w:t>.</w:t>
      </w:r>
    </w:p>
    <w:p w:rsidR="00DD2064" w:rsidRDefault="00DD2064" w:rsidP="00415664">
      <w:pPr>
        <w:autoSpaceDE w:val="0"/>
        <w:autoSpaceDN w:val="0"/>
        <w:adjustRightInd w:val="0"/>
        <w:spacing w:after="0"/>
        <w:ind w:firstLine="708"/>
        <w:jc w:val="both"/>
        <w:rPr>
          <w:rFonts w:ascii="Times New Roman" w:hAnsi="Times New Roman"/>
          <w:sz w:val="24"/>
          <w:szCs w:val="24"/>
        </w:rPr>
      </w:pPr>
    </w:p>
    <w:p w:rsidR="00E44BA5" w:rsidRPr="00E44BA5" w:rsidRDefault="00E44BA5" w:rsidP="00E44BA5">
      <w:pPr>
        <w:autoSpaceDE w:val="0"/>
        <w:autoSpaceDN w:val="0"/>
        <w:adjustRightInd w:val="0"/>
        <w:jc w:val="both"/>
        <w:rPr>
          <w:rFonts w:ascii="Times New Roman" w:hAnsi="Times New Roman"/>
          <w:sz w:val="24"/>
          <w:szCs w:val="24"/>
        </w:rPr>
      </w:pPr>
      <w:r w:rsidRPr="00E44BA5">
        <w:rPr>
          <w:rFonts w:ascii="Times New Roman" w:hAnsi="Times New Roman"/>
          <w:noProof/>
        </w:rPr>
        <w:drawing>
          <wp:inline distT="0" distB="0" distL="0" distR="0" wp14:anchorId="753CCB66" wp14:editId="3853FD05">
            <wp:extent cx="6146800" cy="3619500"/>
            <wp:effectExtent l="0" t="0" r="635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4BA5" w:rsidRPr="00002DB5" w:rsidRDefault="00E44BA5" w:rsidP="00E44BA5">
      <w:pPr>
        <w:ind w:firstLine="142"/>
        <w:jc w:val="center"/>
        <w:rPr>
          <w:rFonts w:ascii="Times New Roman" w:hAnsi="Times New Roman"/>
          <w:b/>
          <w:sz w:val="24"/>
          <w:szCs w:val="24"/>
        </w:rPr>
      </w:pPr>
      <w:r w:rsidRPr="00002DB5">
        <w:rPr>
          <w:rFonts w:ascii="Times New Roman" w:hAnsi="Times New Roman"/>
          <w:b/>
          <w:sz w:val="24"/>
          <w:szCs w:val="24"/>
        </w:rPr>
        <w:t xml:space="preserve">Рис. </w:t>
      </w:r>
      <w:r w:rsidR="00002DB5" w:rsidRPr="00002DB5">
        <w:rPr>
          <w:rFonts w:ascii="Times New Roman" w:hAnsi="Times New Roman"/>
          <w:b/>
          <w:sz w:val="24"/>
          <w:szCs w:val="24"/>
        </w:rPr>
        <w:t>15</w:t>
      </w:r>
      <w:r w:rsidRPr="00002DB5">
        <w:rPr>
          <w:rFonts w:ascii="Times New Roman" w:hAnsi="Times New Roman"/>
          <w:b/>
          <w:sz w:val="24"/>
          <w:szCs w:val="24"/>
        </w:rPr>
        <w:t xml:space="preserve"> </w:t>
      </w:r>
      <w:r w:rsidR="00002DB5">
        <w:rPr>
          <w:rFonts w:ascii="Times New Roman" w:hAnsi="Times New Roman"/>
          <w:b/>
          <w:sz w:val="24"/>
          <w:szCs w:val="24"/>
        </w:rPr>
        <w:t xml:space="preserve">- </w:t>
      </w:r>
      <w:r w:rsidRPr="00002DB5">
        <w:rPr>
          <w:rFonts w:ascii="Times New Roman" w:hAnsi="Times New Roman"/>
          <w:b/>
          <w:sz w:val="24"/>
          <w:szCs w:val="24"/>
        </w:rPr>
        <w:t>Структура источников формирования дорожного фонда в 2018 году</w:t>
      </w:r>
    </w:p>
    <w:p w:rsidR="00DD2064" w:rsidRPr="00E44BA5" w:rsidRDefault="00DD2064" w:rsidP="00DD2064">
      <w:pPr>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За счет средств дорожного фонда предусмотрена реализация подпрограммы «Развитие сети автомобильных дорог общего пользования Амурской области», входящей в состав государственной программы «Развитие транспортной системы Амурской области на 2014-2020 годы», утвержденной постановлением Правительства Амурской области от 25.09.2013 № 450 (с изменениями и дополнениями). Расходы на финансирование указанной подпрограммы отражены в ведомственной структуре расходов областного бюджета на </w:t>
      </w:r>
      <w:r>
        <w:rPr>
          <w:rFonts w:ascii="Times New Roman" w:hAnsi="Times New Roman"/>
          <w:sz w:val="24"/>
          <w:szCs w:val="24"/>
        </w:rPr>
        <w:br/>
      </w:r>
      <w:r w:rsidRPr="00E44BA5">
        <w:rPr>
          <w:rFonts w:ascii="Times New Roman" w:hAnsi="Times New Roman"/>
          <w:sz w:val="24"/>
          <w:szCs w:val="24"/>
        </w:rPr>
        <w:lastRenderedPageBreak/>
        <w:t>2018 год и плановый период 2019 и 2020 годов по главе 937 «Министерство транспорта и строительства Амурской области», в том числе:</w:t>
      </w:r>
    </w:p>
    <w:p w:rsidR="00DD2064" w:rsidRPr="00E44BA5" w:rsidRDefault="00DD2064" w:rsidP="00DD2064">
      <w:pPr>
        <w:numPr>
          <w:ilvl w:val="0"/>
          <w:numId w:val="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2018 год – 3353562,7 тыс. рублей;</w:t>
      </w:r>
    </w:p>
    <w:p w:rsidR="00DD2064" w:rsidRPr="00E44BA5" w:rsidRDefault="00DD2064" w:rsidP="00DD2064">
      <w:pPr>
        <w:numPr>
          <w:ilvl w:val="0"/>
          <w:numId w:val="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2019 год – 3103284,0 тыс. рублей;</w:t>
      </w:r>
    </w:p>
    <w:p w:rsidR="00DD2064" w:rsidRPr="00E44BA5" w:rsidRDefault="00DD2064" w:rsidP="00DD2064">
      <w:pPr>
        <w:numPr>
          <w:ilvl w:val="0"/>
          <w:numId w:val="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E44BA5">
        <w:rPr>
          <w:rFonts w:ascii="Times New Roman" w:eastAsia="Calibri" w:hAnsi="Times New Roman"/>
          <w:sz w:val="24"/>
          <w:szCs w:val="24"/>
          <w:lang w:eastAsia="en-US"/>
        </w:rPr>
        <w:t>на 2020 год –3111025,1 тыс. рублей.</w:t>
      </w:r>
    </w:p>
    <w:p w:rsidR="00E44BA5" w:rsidRPr="00E44BA5" w:rsidRDefault="00E44BA5" w:rsidP="00002DB5">
      <w:pPr>
        <w:tabs>
          <w:tab w:val="left" w:pos="426"/>
        </w:tabs>
        <w:autoSpaceDE w:val="0"/>
        <w:autoSpaceDN w:val="0"/>
        <w:adjustRightInd w:val="0"/>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Также за счет средств дорожного фонда на 2018 год и плановый период </w:t>
      </w:r>
      <w:r w:rsidRPr="00E44BA5">
        <w:rPr>
          <w:rFonts w:ascii="Times New Roman" w:hAnsi="Times New Roman"/>
          <w:sz w:val="24"/>
          <w:szCs w:val="24"/>
        </w:rPr>
        <w:br/>
        <w:t xml:space="preserve">2019-2020 годов предусмотрены расходы на обслуживание долговых обязательств, связанных с использованием бюджетного кредита, полученного бюджетом Амурской области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w:t>
      </w:r>
      <w:r w:rsidR="00875B6A">
        <w:rPr>
          <w:rFonts w:ascii="Times New Roman" w:hAnsi="Times New Roman"/>
          <w:sz w:val="24"/>
          <w:szCs w:val="24"/>
        </w:rPr>
        <w:t xml:space="preserve">по </w:t>
      </w:r>
      <w:r w:rsidRPr="00E44BA5">
        <w:rPr>
          <w:rFonts w:ascii="Times New Roman" w:hAnsi="Times New Roman"/>
          <w:sz w:val="24"/>
          <w:szCs w:val="24"/>
        </w:rPr>
        <w:t>198,4 тыс. рублей</w:t>
      </w:r>
      <w:r w:rsidR="00875B6A">
        <w:rPr>
          <w:rFonts w:ascii="Times New Roman" w:hAnsi="Times New Roman"/>
          <w:sz w:val="24"/>
          <w:szCs w:val="24"/>
        </w:rPr>
        <w:t xml:space="preserve"> ежегодно </w:t>
      </w:r>
      <w:r w:rsidRPr="00E44BA5">
        <w:rPr>
          <w:rFonts w:ascii="Times New Roman" w:hAnsi="Times New Roman"/>
          <w:sz w:val="24"/>
          <w:szCs w:val="24"/>
        </w:rPr>
        <w:t>в 2018 году,</w:t>
      </w:r>
      <w:r w:rsidR="00875B6A">
        <w:rPr>
          <w:rFonts w:ascii="Times New Roman" w:hAnsi="Times New Roman"/>
          <w:sz w:val="24"/>
          <w:szCs w:val="24"/>
        </w:rPr>
        <w:t xml:space="preserve"> </w:t>
      </w:r>
      <w:r w:rsidRPr="00E44BA5">
        <w:rPr>
          <w:rFonts w:ascii="Times New Roman" w:hAnsi="Times New Roman"/>
          <w:sz w:val="24"/>
          <w:szCs w:val="24"/>
        </w:rPr>
        <w:t>2019 году и в 2020 году.</w:t>
      </w:r>
    </w:p>
    <w:p w:rsidR="00E44BA5" w:rsidRPr="00E44BA5" w:rsidRDefault="00E44BA5" w:rsidP="00002DB5">
      <w:pPr>
        <w:tabs>
          <w:tab w:val="left" w:pos="426"/>
        </w:tabs>
        <w:autoSpaceDE w:val="0"/>
        <w:autoSpaceDN w:val="0"/>
        <w:adjustRightInd w:val="0"/>
        <w:spacing w:after="0" w:line="240" w:lineRule="auto"/>
        <w:ind w:firstLine="709"/>
        <w:jc w:val="both"/>
        <w:rPr>
          <w:rFonts w:ascii="Times New Roman" w:hAnsi="Times New Roman"/>
          <w:sz w:val="24"/>
          <w:szCs w:val="24"/>
        </w:rPr>
      </w:pPr>
      <w:r w:rsidRPr="00E44BA5">
        <w:rPr>
          <w:rFonts w:ascii="Times New Roman" w:hAnsi="Times New Roman"/>
          <w:sz w:val="24"/>
          <w:szCs w:val="24"/>
        </w:rPr>
        <w:t xml:space="preserve">Планируемые расходы по подпрограмме «Развитие сети автомобильных дорог общего пользования Амурской области» государственной программы «Развитие транспортной системы Амурской области на 2014-2020 годы» (ред. постановления Правительства Амурской области от 25.09.2017 № 465) за счет средств дорожного фонда области </w:t>
      </w:r>
      <w:r w:rsidR="00875B6A">
        <w:rPr>
          <w:rFonts w:ascii="Times New Roman" w:hAnsi="Times New Roman"/>
          <w:sz w:val="24"/>
          <w:szCs w:val="24"/>
        </w:rPr>
        <w:t xml:space="preserve">в </w:t>
      </w:r>
      <w:r w:rsidR="00875B6A">
        <w:rPr>
          <w:rFonts w:ascii="Times New Roman" w:hAnsi="Times New Roman"/>
          <w:sz w:val="24"/>
          <w:szCs w:val="24"/>
        </w:rPr>
        <w:br/>
      </w:r>
      <w:r w:rsidRPr="00E44BA5">
        <w:rPr>
          <w:rFonts w:ascii="Times New Roman" w:hAnsi="Times New Roman"/>
          <w:sz w:val="24"/>
          <w:szCs w:val="24"/>
        </w:rPr>
        <w:t xml:space="preserve">2018 году составили – 3353562,7 тыс. рублей, что ниже суммы ожидаемого исполнения </w:t>
      </w:r>
      <w:r w:rsidR="00875B6A">
        <w:rPr>
          <w:rFonts w:ascii="Times New Roman" w:hAnsi="Times New Roman"/>
          <w:sz w:val="24"/>
          <w:szCs w:val="24"/>
        </w:rPr>
        <w:br/>
      </w:r>
      <w:r w:rsidRPr="00E44BA5">
        <w:rPr>
          <w:rFonts w:ascii="Times New Roman" w:hAnsi="Times New Roman"/>
          <w:sz w:val="24"/>
          <w:szCs w:val="24"/>
        </w:rPr>
        <w:t xml:space="preserve">2017 года в размере 4040145,6 тыс. рублей </w:t>
      </w:r>
      <w:r w:rsidR="007310A9">
        <w:rPr>
          <w:rFonts w:ascii="Times New Roman" w:hAnsi="Times New Roman"/>
          <w:sz w:val="24"/>
          <w:szCs w:val="24"/>
        </w:rPr>
        <w:t xml:space="preserve">(с учетом остатков на начало года) </w:t>
      </w:r>
      <w:r w:rsidRPr="00E44BA5">
        <w:rPr>
          <w:rFonts w:ascii="Times New Roman" w:hAnsi="Times New Roman"/>
          <w:sz w:val="24"/>
          <w:szCs w:val="24"/>
        </w:rPr>
        <w:t>на 686582,9 тыс. рублей (по причине отсутствия сведений о размере софинансирования за счет средств федерального бюджета)</w:t>
      </w:r>
      <w:r w:rsidRPr="00E44BA5">
        <w:rPr>
          <w:rFonts w:ascii="Times New Roman" w:hAnsi="Times New Roman"/>
          <w:color w:val="00B0F0"/>
          <w:sz w:val="24"/>
          <w:szCs w:val="24"/>
        </w:rPr>
        <w:t xml:space="preserve">. </w:t>
      </w:r>
      <w:r w:rsidRPr="00E44BA5">
        <w:rPr>
          <w:rFonts w:ascii="Times New Roman" w:hAnsi="Times New Roman"/>
          <w:sz w:val="24"/>
          <w:szCs w:val="24"/>
        </w:rPr>
        <w:t>В программной структуре расходов областного бюджета законопроекта как на 2018 год, так и на плановый период 2019 и 2020 годов средства федерального бюджета на софинансирование мероприятий подпрограммы «Развитие сети автомобильных дорог общего пользования Амурской области» не отражены.</w:t>
      </w:r>
    </w:p>
    <w:p w:rsidR="00E44BA5" w:rsidRPr="00E44BA5" w:rsidRDefault="00E44BA5" w:rsidP="00002DB5">
      <w:pPr>
        <w:spacing w:after="0" w:line="240" w:lineRule="auto"/>
        <w:ind w:firstLine="709"/>
        <w:jc w:val="both"/>
        <w:rPr>
          <w:rFonts w:ascii="Times New Roman" w:hAnsi="Times New Roman"/>
          <w:sz w:val="24"/>
          <w:szCs w:val="24"/>
        </w:rPr>
      </w:pPr>
      <w:r w:rsidRPr="00E44BA5">
        <w:rPr>
          <w:rFonts w:ascii="Times New Roman" w:hAnsi="Times New Roman"/>
          <w:sz w:val="24"/>
          <w:szCs w:val="24"/>
        </w:rPr>
        <w:t>В текущем году ресурсное обеспечение подпрограммы «Развитие сети автомобильных дорог общего пользования Амурской области» за счет средств федерального бюджета</w:t>
      </w:r>
      <w:r w:rsidR="00002DB5">
        <w:rPr>
          <w:rFonts w:ascii="Times New Roman" w:hAnsi="Times New Roman"/>
          <w:sz w:val="24"/>
          <w:szCs w:val="24"/>
        </w:rPr>
        <w:t xml:space="preserve"> </w:t>
      </w:r>
      <w:r w:rsidRPr="00E44BA5">
        <w:rPr>
          <w:rFonts w:ascii="Times New Roman" w:hAnsi="Times New Roman"/>
          <w:sz w:val="24"/>
          <w:szCs w:val="24"/>
        </w:rPr>
        <w:t>согласно постановлению Правительства Амурской области от 25.09.2013 № 450 (ред. от 25.09.2017) «Об утверждении государственной программы Амурской области «Развитие транспортной системы Амурской области на 2014-2020 годы» составит 891692,69 тыс. рублей, или 16,2 процента объема бюджетных ассигнований дорожного фонда, утвержденного законом Амурской области от 20.12.2016 № 27-ОЗ (ред. от 02.10.2017) «Об областном бюджете на 2017 год и плановый период 2018 и 2019 годов». В 2018 - 2020 годах ресурсное обеспечение подпрограммы за счет средств федерального бюджета не предусмотрено.</w:t>
      </w:r>
    </w:p>
    <w:p w:rsidR="00852429" w:rsidRPr="00852429" w:rsidRDefault="00852429" w:rsidP="00852429">
      <w:pPr>
        <w:autoSpaceDE w:val="0"/>
        <w:autoSpaceDN w:val="0"/>
        <w:adjustRightInd w:val="0"/>
        <w:spacing w:after="0" w:line="240" w:lineRule="auto"/>
        <w:ind w:firstLine="709"/>
        <w:jc w:val="both"/>
        <w:rPr>
          <w:rFonts w:ascii="Times New Roman" w:eastAsia="Calibri" w:hAnsi="Times New Roman"/>
          <w:i/>
          <w:sz w:val="24"/>
          <w:szCs w:val="24"/>
        </w:rPr>
      </w:pPr>
      <w:r w:rsidRPr="00852429">
        <w:rPr>
          <w:rFonts w:ascii="Times New Roman" w:eastAsia="Calibri" w:hAnsi="Times New Roman"/>
          <w:sz w:val="24"/>
          <w:szCs w:val="24"/>
        </w:rPr>
        <w:t xml:space="preserve">На 2018 год и плановый период 2019-2020 годов расходы на обеспечение деятельности учреждения, осуществляющего управление автомобильными дорогами регионального значения - государственного казенного учреждения управление автомобильных дорог Амурской области «Амурупрадор», в рамках реализации подпрограммы «Развитие сети автомобильных дорог общего пользования Амурской области» (ЦСР 13 2 01 10590) предусмотрены в размере 466029,0 тыс. рублей (с увеличением к предусмотренным ассигнованиям 2017 года на 4 773,0 тыс. рублей), в размере 466 588,9 тыс. рублей (2019) и 468 849,5 тыс. рублей (2020) соответственно. Расходы на уплату налога на имущество дорог общего пользования на 2018 год и плановый период 2019-2020 годов предусмотрены на уровне бюджетных ассигнований 2017 года в размере 400 398,2 тыс. рублей. Расходы на содержание в 2018 году и плановом периоде 2019 и 2020 годов государственного казенного учреждения управление автомобильных дорог Амурской области «Амурупрадор» предусмотрены с увеличением за счет расходов на выплаты персоналу в связи с доведением предельной штатной численности до 83 единиц (постановление Правительства Амурской области от 18.10.2017 № 505 «О внесении изменений в постановление Правительства Амурской области от 30.11.2010 № 672). </w:t>
      </w:r>
      <w:r>
        <w:rPr>
          <w:rFonts w:ascii="Times New Roman" w:eastAsia="Calibri" w:hAnsi="Times New Roman"/>
          <w:sz w:val="24"/>
          <w:szCs w:val="24"/>
        </w:rPr>
        <w:br/>
      </w:r>
      <w:r w:rsidRPr="00852429">
        <w:rPr>
          <w:rFonts w:ascii="Times New Roman" w:eastAsia="Calibri" w:hAnsi="Times New Roman"/>
          <w:sz w:val="24"/>
          <w:szCs w:val="24"/>
        </w:rPr>
        <w:t xml:space="preserve">В 2018 году расходы на выплаты персоналу в целях обеспечения выполнения функций государственными (муниципальными) органами, казенными учреждениями по виду расходов 100 целевой статьи 13 2 01 10 590 предусмотрены в размере 56 920,4 тыс. рублей, что на 4 157,1 тыс. рублей (7,9 процента) больше ожидаемого исполнения по состоянию на </w:t>
      </w:r>
      <w:r w:rsidRPr="00852429">
        <w:rPr>
          <w:rFonts w:ascii="Times New Roman" w:eastAsia="Calibri" w:hAnsi="Times New Roman"/>
          <w:sz w:val="24"/>
          <w:szCs w:val="24"/>
        </w:rPr>
        <w:lastRenderedPageBreak/>
        <w:t>01.10.2017 года (52 763,3 тыс. рублей). В  2019 и 2020 году предусмотрены средства в размере 57 480,0 тыс. рублей (увеличение на 1,0 процент) и 59 740,9 тыс. рублей (увеличение н</w:t>
      </w:r>
      <w:r>
        <w:rPr>
          <w:rFonts w:ascii="Times New Roman" w:eastAsia="Calibri" w:hAnsi="Times New Roman"/>
          <w:sz w:val="24"/>
          <w:szCs w:val="24"/>
        </w:rPr>
        <w:t>а 4,0 процента) соответственно.</w:t>
      </w:r>
    </w:p>
    <w:p w:rsidR="00E220E3" w:rsidRDefault="00E220E3" w:rsidP="00002DB5">
      <w:pPr>
        <w:spacing w:after="0" w:line="240" w:lineRule="auto"/>
        <w:ind w:firstLine="709"/>
        <w:jc w:val="both"/>
        <w:rPr>
          <w:rFonts w:ascii="Times New Roman" w:hAnsi="Times New Roman"/>
          <w:sz w:val="24"/>
          <w:szCs w:val="24"/>
        </w:rPr>
      </w:pPr>
    </w:p>
    <w:p w:rsidR="00B80503" w:rsidRPr="00B80503" w:rsidRDefault="00B80503" w:rsidP="00B80503">
      <w:pPr>
        <w:pStyle w:val="a4"/>
        <w:widowControl w:val="0"/>
        <w:numPr>
          <w:ilvl w:val="1"/>
          <w:numId w:val="2"/>
        </w:numPr>
        <w:autoSpaceDE w:val="0"/>
        <w:autoSpaceDN w:val="0"/>
        <w:adjustRightInd w:val="0"/>
        <w:spacing w:after="0" w:line="240" w:lineRule="auto"/>
        <w:jc w:val="center"/>
        <w:rPr>
          <w:rFonts w:ascii="Times New Roman" w:hAnsi="Times New Roman"/>
          <w:b/>
          <w:bCs/>
          <w:iCs/>
          <w:sz w:val="24"/>
          <w:szCs w:val="24"/>
        </w:rPr>
      </w:pPr>
      <w:r w:rsidRPr="00B80503">
        <w:rPr>
          <w:rFonts w:ascii="Times New Roman" w:hAnsi="Times New Roman"/>
          <w:b/>
          <w:bCs/>
          <w:iCs/>
          <w:sz w:val="24"/>
          <w:szCs w:val="24"/>
        </w:rPr>
        <w:t xml:space="preserve">Расходы областного бюджета на 2018 год и плановый период 2019 и </w:t>
      </w:r>
      <w:r>
        <w:rPr>
          <w:rFonts w:ascii="Times New Roman" w:hAnsi="Times New Roman"/>
          <w:b/>
          <w:bCs/>
          <w:iCs/>
          <w:sz w:val="24"/>
          <w:szCs w:val="24"/>
        </w:rPr>
        <w:br/>
      </w:r>
      <w:r w:rsidRPr="00B80503">
        <w:rPr>
          <w:rFonts w:ascii="Times New Roman" w:hAnsi="Times New Roman"/>
          <w:b/>
          <w:bCs/>
          <w:iCs/>
          <w:sz w:val="24"/>
          <w:szCs w:val="24"/>
        </w:rPr>
        <w:t>2020</w:t>
      </w:r>
      <w:r w:rsidRPr="00B80503">
        <w:rPr>
          <w:rFonts w:ascii="Times New Roman" w:hAnsi="Times New Roman"/>
          <w:b/>
          <w:bCs/>
          <w:sz w:val="24"/>
          <w:szCs w:val="24"/>
        </w:rPr>
        <w:t xml:space="preserve"> </w:t>
      </w:r>
      <w:r w:rsidRPr="00B80503">
        <w:rPr>
          <w:rFonts w:ascii="Times New Roman" w:hAnsi="Times New Roman"/>
          <w:b/>
          <w:bCs/>
          <w:iCs/>
          <w:sz w:val="24"/>
          <w:szCs w:val="24"/>
        </w:rPr>
        <w:t>годов на бюджетные инвестиции в объекты капитального строительства</w:t>
      </w:r>
    </w:p>
    <w:p w:rsidR="00B80503" w:rsidRPr="006E061A"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6E061A">
        <w:rPr>
          <w:rFonts w:ascii="Times New Roman" w:hAnsi="Times New Roman"/>
          <w:bCs/>
          <w:iCs/>
          <w:sz w:val="24"/>
          <w:szCs w:val="24"/>
        </w:rPr>
        <w:t xml:space="preserve">Согласно представленным в составе законопроекта «Об областном бюджете </w:t>
      </w:r>
      <w:r w:rsidRPr="006E061A">
        <w:rPr>
          <w:rFonts w:ascii="Times New Roman" w:hAnsi="Times New Roman"/>
          <w:bCs/>
          <w:iCs/>
          <w:sz w:val="24"/>
          <w:szCs w:val="24"/>
        </w:rPr>
        <w:br/>
        <w:t>на 201</w:t>
      </w:r>
      <w:r>
        <w:rPr>
          <w:rFonts w:ascii="Times New Roman" w:hAnsi="Times New Roman"/>
          <w:bCs/>
          <w:iCs/>
          <w:sz w:val="24"/>
          <w:szCs w:val="24"/>
        </w:rPr>
        <w:t>8</w:t>
      </w:r>
      <w:r w:rsidRPr="006E061A">
        <w:rPr>
          <w:rFonts w:ascii="Times New Roman" w:hAnsi="Times New Roman"/>
          <w:bCs/>
          <w:iCs/>
          <w:sz w:val="24"/>
          <w:szCs w:val="24"/>
        </w:rPr>
        <w:t xml:space="preserve"> год и плановый период 201</w:t>
      </w:r>
      <w:r>
        <w:rPr>
          <w:rFonts w:ascii="Times New Roman" w:hAnsi="Times New Roman"/>
          <w:bCs/>
          <w:iCs/>
          <w:sz w:val="24"/>
          <w:szCs w:val="24"/>
        </w:rPr>
        <w:t>9</w:t>
      </w:r>
      <w:r w:rsidRPr="006E061A">
        <w:rPr>
          <w:rFonts w:ascii="Times New Roman" w:hAnsi="Times New Roman"/>
          <w:bCs/>
          <w:iCs/>
          <w:sz w:val="24"/>
          <w:szCs w:val="24"/>
        </w:rPr>
        <w:t xml:space="preserve"> и 20</w:t>
      </w:r>
      <w:r>
        <w:rPr>
          <w:rFonts w:ascii="Times New Roman" w:hAnsi="Times New Roman"/>
          <w:bCs/>
          <w:iCs/>
          <w:sz w:val="24"/>
          <w:szCs w:val="24"/>
        </w:rPr>
        <w:t>20</w:t>
      </w:r>
      <w:r w:rsidRPr="006E061A">
        <w:rPr>
          <w:rFonts w:ascii="Times New Roman" w:hAnsi="Times New Roman"/>
          <w:bCs/>
          <w:iCs/>
          <w:sz w:val="24"/>
          <w:szCs w:val="24"/>
        </w:rPr>
        <w:t xml:space="preserve"> годов» приложениям № 10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201</w:t>
      </w:r>
      <w:r w:rsidR="00875B6A">
        <w:rPr>
          <w:rFonts w:ascii="Times New Roman" w:hAnsi="Times New Roman"/>
          <w:bCs/>
          <w:iCs/>
          <w:sz w:val="24"/>
          <w:szCs w:val="24"/>
        </w:rPr>
        <w:t>8</w:t>
      </w:r>
      <w:r w:rsidRPr="006E061A">
        <w:rPr>
          <w:rFonts w:ascii="Times New Roman" w:hAnsi="Times New Roman"/>
          <w:bCs/>
          <w:iCs/>
          <w:sz w:val="24"/>
          <w:szCs w:val="24"/>
        </w:rPr>
        <w:t xml:space="preserve"> год и плановый период 201</w:t>
      </w:r>
      <w:r w:rsidR="00875B6A">
        <w:rPr>
          <w:rFonts w:ascii="Times New Roman" w:hAnsi="Times New Roman"/>
          <w:bCs/>
          <w:iCs/>
          <w:sz w:val="24"/>
          <w:szCs w:val="24"/>
        </w:rPr>
        <w:t>9</w:t>
      </w:r>
      <w:r w:rsidRPr="006E061A">
        <w:rPr>
          <w:rFonts w:ascii="Times New Roman" w:hAnsi="Times New Roman"/>
          <w:bCs/>
          <w:iCs/>
          <w:sz w:val="24"/>
          <w:szCs w:val="24"/>
        </w:rPr>
        <w:t xml:space="preserve"> и 20</w:t>
      </w:r>
      <w:r w:rsidR="00875B6A">
        <w:rPr>
          <w:rFonts w:ascii="Times New Roman" w:hAnsi="Times New Roman"/>
          <w:bCs/>
          <w:iCs/>
          <w:sz w:val="24"/>
          <w:szCs w:val="24"/>
        </w:rPr>
        <w:t>20</w:t>
      </w:r>
      <w:r w:rsidRPr="006E061A">
        <w:rPr>
          <w:rFonts w:ascii="Times New Roman" w:hAnsi="Times New Roman"/>
          <w:bCs/>
          <w:iCs/>
          <w:sz w:val="24"/>
          <w:szCs w:val="24"/>
        </w:rPr>
        <w:t xml:space="preserve"> годов» и </w:t>
      </w:r>
      <w:r w:rsidRPr="006E061A">
        <w:rPr>
          <w:rFonts w:ascii="Times New Roman" w:hAnsi="Times New Roman"/>
          <w:bCs/>
          <w:iCs/>
          <w:sz w:val="24"/>
          <w:szCs w:val="24"/>
        </w:rPr>
        <w:br/>
        <w:t>№ 11 «Ведомственная структура расходов областного бюджета на 201</w:t>
      </w:r>
      <w:r w:rsidR="00875B6A">
        <w:rPr>
          <w:rFonts w:ascii="Times New Roman" w:hAnsi="Times New Roman"/>
          <w:bCs/>
          <w:iCs/>
          <w:sz w:val="24"/>
          <w:szCs w:val="24"/>
        </w:rPr>
        <w:t>8</w:t>
      </w:r>
      <w:r w:rsidRPr="006E061A">
        <w:rPr>
          <w:rFonts w:ascii="Times New Roman" w:hAnsi="Times New Roman"/>
          <w:bCs/>
          <w:iCs/>
          <w:sz w:val="24"/>
          <w:szCs w:val="24"/>
        </w:rPr>
        <w:t xml:space="preserve"> год и плановый период 201</w:t>
      </w:r>
      <w:r w:rsidR="00875B6A">
        <w:rPr>
          <w:rFonts w:ascii="Times New Roman" w:hAnsi="Times New Roman"/>
          <w:bCs/>
          <w:iCs/>
          <w:sz w:val="24"/>
          <w:szCs w:val="24"/>
        </w:rPr>
        <w:t>9</w:t>
      </w:r>
      <w:r w:rsidRPr="006E061A">
        <w:rPr>
          <w:rFonts w:ascii="Times New Roman" w:hAnsi="Times New Roman"/>
          <w:bCs/>
          <w:iCs/>
          <w:sz w:val="24"/>
          <w:szCs w:val="24"/>
        </w:rPr>
        <w:t xml:space="preserve"> и 20</w:t>
      </w:r>
      <w:r w:rsidR="00875B6A">
        <w:rPr>
          <w:rFonts w:ascii="Times New Roman" w:hAnsi="Times New Roman"/>
          <w:bCs/>
          <w:iCs/>
          <w:sz w:val="24"/>
          <w:szCs w:val="24"/>
        </w:rPr>
        <w:t>20</w:t>
      </w:r>
      <w:r w:rsidRPr="006E061A">
        <w:rPr>
          <w:rFonts w:ascii="Times New Roman" w:hAnsi="Times New Roman"/>
          <w:bCs/>
          <w:iCs/>
          <w:sz w:val="24"/>
          <w:szCs w:val="24"/>
        </w:rPr>
        <w:t xml:space="preserve"> годов» </w:t>
      </w:r>
      <w:r>
        <w:rPr>
          <w:rFonts w:ascii="Times New Roman" w:hAnsi="Times New Roman"/>
          <w:bCs/>
          <w:iCs/>
          <w:sz w:val="24"/>
          <w:szCs w:val="24"/>
        </w:rPr>
        <w:t xml:space="preserve">в составе расходов областного бюджета </w:t>
      </w:r>
      <w:r w:rsidRPr="006E061A">
        <w:rPr>
          <w:rFonts w:ascii="Times New Roman" w:hAnsi="Times New Roman"/>
          <w:bCs/>
          <w:iCs/>
          <w:sz w:val="24"/>
          <w:szCs w:val="24"/>
        </w:rPr>
        <w:t xml:space="preserve">предусмотрено </w:t>
      </w:r>
      <w:r>
        <w:rPr>
          <w:rFonts w:ascii="Times New Roman" w:hAnsi="Times New Roman"/>
          <w:bCs/>
          <w:iCs/>
          <w:sz w:val="24"/>
          <w:szCs w:val="24"/>
        </w:rPr>
        <w:t xml:space="preserve">средств </w:t>
      </w:r>
      <w:r w:rsidRPr="006E061A">
        <w:rPr>
          <w:rFonts w:ascii="Times New Roman" w:hAnsi="Times New Roman"/>
          <w:bCs/>
          <w:iCs/>
          <w:sz w:val="24"/>
          <w:szCs w:val="24"/>
        </w:rPr>
        <w:t>на капитальные вложения в объекты государственной собственности области</w:t>
      </w:r>
      <w:r w:rsidRPr="0096699C">
        <w:rPr>
          <w:rFonts w:ascii="Times New Roman" w:hAnsi="Times New Roman"/>
          <w:bCs/>
          <w:iCs/>
          <w:sz w:val="24"/>
          <w:szCs w:val="24"/>
        </w:rPr>
        <w:t xml:space="preserve"> </w:t>
      </w:r>
      <w:r w:rsidRPr="006E061A">
        <w:rPr>
          <w:rFonts w:ascii="Times New Roman" w:hAnsi="Times New Roman"/>
          <w:bCs/>
          <w:iCs/>
          <w:sz w:val="24"/>
          <w:szCs w:val="24"/>
        </w:rPr>
        <w:t xml:space="preserve">по </w:t>
      </w:r>
      <w:r>
        <w:rPr>
          <w:rFonts w:ascii="Times New Roman" w:hAnsi="Times New Roman"/>
          <w:bCs/>
          <w:iCs/>
          <w:sz w:val="24"/>
          <w:szCs w:val="24"/>
        </w:rPr>
        <w:t>четы</w:t>
      </w:r>
      <w:r w:rsidRPr="006E061A">
        <w:rPr>
          <w:rFonts w:ascii="Times New Roman" w:hAnsi="Times New Roman"/>
          <w:bCs/>
          <w:iCs/>
          <w:sz w:val="24"/>
          <w:szCs w:val="24"/>
        </w:rPr>
        <w:t>рем государственным программам</w:t>
      </w:r>
      <w:r>
        <w:rPr>
          <w:rFonts w:ascii="Times New Roman" w:hAnsi="Times New Roman"/>
          <w:bCs/>
          <w:iCs/>
          <w:sz w:val="24"/>
          <w:szCs w:val="24"/>
        </w:rPr>
        <w:t xml:space="preserve"> </w:t>
      </w:r>
      <w:r w:rsidRPr="006E061A">
        <w:rPr>
          <w:rFonts w:ascii="Times New Roman" w:hAnsi="Times New Roman"/>
          <w:bCs/>
          <w:iCs/>
          <w:sz w:val="24"/>
          <w:szCs w:val="24"/>
        </w:rPr>
        <w:t>в 201</w:t>
      </w:r>
      <w:r>
        <w:rPr>
          <w:rFonts w:ascii="Times New Roman" w:hAnsi="Times New Roman"/>
          <w:bCs/>
          <w:iCs/>
          <w:sz w:val="24"/>
          <w:szCs w:val="24"/>
        </w:rPr>
        <w:t>8</w:t>
      </w:r>
      <w:r w:rsidRPr="006E061A">
        <w:rPr>
          <w:rFonts w:ascii="Times New Roman" w:hAnsi="Times New Roman"/>
          <w:bCs/>
          <w:iCs/>
          <w:sz w:val="24"/>
          <w:szCs w:val="24"/>
        </w:rPr>
        <w:t xml:space="preserve"> году </w:t>
      </w:r>
      <w:r>
        <w:rPr>
          <w:rFonts w:ascii="Times New Roman" w:hAnsi="Times New Roman"/>
          <w:bCs/>
          <w:iCs/>
          <w:sz w:val="24"/>
          <w:szCs w:val="24"/>
        </w:rPr>
        <w:t xml:space="preserve">- </w:t>
      </w:r>
      <w:r w:rsidRPr="006E061A">
        <w:rPr>
          <w:rFonts w:ascii="Times New Roman" w:hAnsi="Times New Roman"/>
          <w:bCs/>
          <w:iCs/>
          <w:sz w:val="24"/>
          <w:szCs w:val="24"/>
        </w:rPr>
        <w:t xml:space="preserve">в объеме </w:t>
      </w:r>
      <w:r>
        <w:rPr>
          <w:rFonts w:ascii="Times New Roman" w:hAnsi="Times New Roman"/>
          <w:bCs/>
          <w:iCs/>
          <w:sz w:val="24"/>
          <w:szCs w:val="24"/>
        </w:rPr>
        <w:t>3</w:t>
      </w:r>
      <w:r w:rsidRPr="006E061A">
        <w:rPr>
          <w:rFonts w:ascii="Times New Roman" w:hAnsi="Times New Roman"/>
          <w:bCs/>
          <w:iCs/>
          <w:sz w:val="24"/>
          <w:szCs w:val="24"/>
        </w:rPr>
        <w:t>6</w:t>
      </w:r>
      <w:r>
        <w:rPr>
          <w:rFonts w:ascii="Times New Roman" w:hAnsi="Times New Roman"/>
          <w:bCs/>
          <w:iCs/>
          <w:sz w:val="24"/>
          <w:szCs w:val="24"/>
        </w:rPr>
        <w:t>7312</w:t>
      </w:r>
      <w:r w:rsidRPr="006E061A">
        <w:rPr>
          <w:rFonts w:ascii="Times New Roman" w:hAnsi="Times New Roman"/>
          <w:bCs/>
          <w:iCs/>
          <w:sz w:val="24"/>
          <w:szCs w:val="24"/>
        </w:rPr>
        <w:t>,</w:t>
      </w:r>
      <w:r>
        <w:rPr>
          <w:rFonts w:ascii="Times New Roman" w:hAnsi="Times New Roman"/>
          <w:bCs/>
          <w:iCs/>
          <w:sz w:val="24"/>
          <w:szCs w:val="24"/>
        </w:rPr>
        <w:t>3</w:t>
      </w:r>
      <w:r w:rsidRPr="006E061A">
        <w:rPr>
          <w:rFonts w:ascii="Times New Roman" w:hAnsi="Times New Roman"/>
          <w:bCs/>
          <w:iCs/>
          <w:sz w:val="24"/>
          <w:szCs w:val="24"/>
        </w:rPr>
        <w:t xml:space="preserve"> тыс. рублей, </w:t>
      </w:r>
      <w:r>
        <w:rPr>
          <w:rFonts w:ascii="Times New Roman" w:hAnsi="Times New Roman"/>
          <w:bCs/>
          <w:iCs/>
          <w:sz w:val="24"/>
          <w:szCs w:val="24"/>
        </w:rPr>
        <w:br/>
      </w:r>
      <w:r w:rsidRPr="006E061A">
        <w:rPr>
          <w:rFonts w:ascii="Times New Roman" w:hAnsi="Times New Roman"/>
          <w:bCs/>
          <w:iCs/>
          <w:sz w:val="24"/>
          <w:szCs w:val="24"/>
        </w:rPr>
        <w:t>в 201</w:t>
      </w:r>
      <w:r>
        <w:rPr>
          <w:rFonts w:ascii="Times New Roman" w:hAnsi="Times New Roman"/>
          <w:bCs/>
          <w:iCs/>
          <w:sz w:val="24"/>
          <w:szCs w:val="24"/>
        </w:rPr>
        <w:t>9</w:t>
      </w:r>
      <w:r w:rsidRPr="006E061A">
        <w:rPr>
          <w:rFonts w:ascii="Times New Roman" w:hAnsi="Times New Roman"/>
          <w:bCs/>
          <w:iCs/>
          <w:sz w:val="24"/>
          <w:szCs w:val="24"/>
        </w:rPr>
        <w:t xml:space="preserve"> году </w:t>
      </w:r>
      <w:r>
        <w:rPr>
          <w:rFonts w:ascii="Times New Roman" w:hAnsi="Times New Roman"/>
          <w:bCs/>
          <w:iCs/>
          <w:sz w:val="24"/>
          <w:szCs w:val="24"/>
        </w:rPr>
        <w:t xml:space="preserve">- </w:t>
      </w:r>
      <w:r w:rsidRPr="006E061A">
        <w:rPr>
          <w:rFonts w:ascii="Times New Roman" w:hAnsi="Times New Roman"/>
          <w:bCs/>
          <w:iCs/>
          <w:sz w:val="24"/>
          <w:szCs w:val="24"/>
        </w:rPr>
        <w:t xml:space="preserve">в объеме </w:t>
      </w:r>
      <w:r>
        <w:rPr>
          <w:rFonts w:ascii="Times New Roman" w:hAnsi="Times New Roman"/>
          <w:bCs/>
          <w:iCs/>
          <w:sz w:val="24"/>
          <w:szCs w:val="24"/>
        </w:rPr>
        <w:t>347355,2</w:t>
      </w:r>
      <w:r w:rsidRPr="006E061A">
        <w:rPr>
          <w:rFonts w:ascii="Times New Roman" w:hAnsi="Times New Roman"/>
          <w:bCs/>
          <w:iCs/>
          <w:sz w:val="24"/>
          <w:szCs w:val="24"/>
        </w:rPr>
        <w:t xml:space="preserve"> тыс. рублей и в 20</w:t>
      </w:r>
      <w:r w:rsidR="00875B6A">
        <w:rPr>
          <w:rFonts w:ascii="Times New Roman" w:hAnsi="Times New Roman"/>
          <w:bCs/>
          <w:iCs/>
          <w:sz w:val="24"/>
          <w:szCs w:val="24"/>
        </w:rPr>
        <w:t>20</w:t>
      </w:r>
      <w:r w:rsidRPr="006E061A">
        <w:rPr>
          <w:rFonts w:ascii="Times New Roman" w:hAnsi="Times New Roman"/>
          <w:bCs/>
          <w:iCs/>
          <w:sz w:val="24"/>
          <w:szCs w:val="24"/>
        </w:rPr>
        <w:t xml:space="preserve"> году </w:t>
      </w:r>
      <w:r>
        <w:rPr>
          <w:rFonts w:ascii="Times New Roman" w:hAnsi="Times New Roman"/>
          <w:bCs/>
          <w:iCs/>
          <w:sz w:val="24"/>
          <w:szCs w:val="24"/>
        </w:rPr>
        <w:t xml:space="preserve">- </w:t>
      </w:r>
      <w:r w:rsidRPr="006E061A">
        <w:rPr>
          <w:rFonts w:ascii="Times New Roman" w:hAnsi="Times New Roman"/>
          <w:bCs/>
          <w:iCs/>
          <w:sz w:val="24"/>
          <w:szCs w:val="24"/>
        </w:rPr>
        <w:t xml:space="preserve">в объеме </w:t>
      </w:r>
      <w:r>
        <w:rPr>
          <w:rFonts w:ascii="Times New Roman" w:hAnsi="Times New Roman"/>
          <w:bCs/>
          <w:iCs/>
          <w:sz w:val="24"/>
          <w:szCs w:val="24"/>
        </w:rPr>
        <w:t>500113,8</w:t>
      </w:r>
      <w:r w:rsidRPr="006E061A">
        <w:rPr>
          <w:rFonts w:ascii="Times New Roman" w:hAnsi="Times New Roman"/>
          <w:bCs/>
          <w:iCs/>
          <w:sz w:val="24"/>
          <w:szCs w:val="24"/>
        </w:rPr>
        <w:t xml:space="preserve"> тыс. рублей. </w:t>
      </w:r>
    </w:p>
    <w:p w:rsidR="00B80503" w:rsidRPr="006E061A"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6E061A">
        <w:rPr>
          <w:rFonts w:ascii="Times New Roman" w:hAnsi="Times New Roman"/>
          <w:bCs/>
          <w:iCs/>
          <w:sz w:val="24"/>
          <w:szCs w:val="24"/>
        </w:rPr>
        <w:t xml:space="preserve">В соответствии с требованиями статьи 4 Закона Амурской области от 31.08.2007 </w:t>
      </w:r>
      <w:r w:rsidRPr="006E061A">
        <w:rPr>
          <w:rFonts w:ascii="Times New Roman" w:hAnsi="Times New Roman"/>
          <w:bCs/>
          <w:iCs/>
          <w:sz w:val="24"/>
          <w:szCs w:val="24"/>
        </w:rPr>
        <w:br/>
        <w:t xml:space="preserve">№ 368-ОЗ «О бюджетном процессе в Амурской области» одновременно с проектом закона об областном бюджете в Законодательное Собрание Амурской области представляется «Перечень объектов капитального строительства, учтенных в проекте закона области об областном бюджете, и объемы бюджетных ассигнований, направленных на финансовое обеспечение этих объектов». </w:t>
      </w:r>
    </w:p>
    <w:p w:rsidR="00B80503" w:rsidRPr="006E061A"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6E061A">
        <w:rPr>
          <w:rFonts w:ascii="Times New Roman" w:hAnsi="Times New Roman"/>
          <w:bCs/>
          <w:iCs/>
          <w:sz w:val="24"/>
          <w:szCs w:val="24"/>
        </w:rPr>
        <w:t>Представленный Перечень объектов капитального строительства областной собственности на 201</w:t>
      </w:r>
      <w:r>
        <w:rPr>
          <w:rFonts w:ascii="Times New Roman" w:hAnsi="Times New Roman"/>
          <w:bCs/>
          <w:iCs/>
          <w:sz w:val="24"/>
          <w:szCs w:val="24"/>
        </w:rPr>
        <w:t>8</w:t>
      </w:r>
      <w:r w:rsidRPr="006E061A">
        <w:rPr>
          <w:rFonts w:ascii="Times New Roman" w:hAnsi="Times New Roman"/>
          <w:bCs/>
          <w:iCs/>
          <w:sz w:val="24"/>
          <w:szCs w:val="24"/>
        </w:rPr>
        <w:t>-20</w:t>
      </w:r>
      <w:r>
        <w:rPr>
          <w:rFonts w:ascii="Times New Roman" w:hAnsi="Times New Roman"/>
          <w:bCs/>
          <w:iCs/>
          <w:sz w:val="24"/>
          <w:szCs w:val="24"/>
        </w:rPr>
        <w:t>20</w:t>
      </w:r>
      <w:r w:rsidRPr="006E061A">
        <w:rPr>
          <w:rFonts w:ascii="Times New Roman" w:hAnsi="Times New Roman"/>
          <w:bCs/>
          <w:iCs/>
          <w:sz w:val="24"/>
          <w:szCs w:val="24"/>
        </w:rPr>
        <w:t xml:space="preserve"> годы включает в себя предусмотренные к финансированию в 201</w:t>
      </w:r>
      <w:r>
        <w:rPr>
          <w:rFonts w:ascii="Times New Roman" w:hAnsi="Times New Roman"/>
          <w:bCs/>
          <w:iCs/>
          <w:sz w:val="24"/>
          <w:szCs w:val="24"/>
        </w:rPr>
        <w:t>8</w:t>
      </w:r>
      <w:r w:rsidRPr="006E061A">
        <w:rPr>
          <w:rFonts w:ascii="Times New Roman" w:hAnsi="Times New Roman"/>
          <w:bCs/>
          <w:iCs/>
          <w:sz w:val="24"/>
          <w:szCs w:val="24"/>
        </w:rPr>
        <w:t xml:space="preserve"> году </w:t>
      </w:r>
      <w:r>
        <w:rPr>
          <w:rFonts w:ascii="Times New Roman" w:hAnsi="Times New Roman"/>
          <w:bCs/>
          <w:iCs/>
          <w:sz w:val="24"/>
          <w:szCs w:val="24"/>
        </w:rPr>
        <w:t>24</w:t>
      </w:r>
      <w:r w:rsidRPr="006E061A">
        <w:rPr>
          <w:rFonts w:ascii="Times New Roman" w:hAnsi="Times New Roman"/>
          <w:bCs/>
          <w:iCs/>
          <w:sz w:val="24"/>
          <w:szCs w:val="24"/>
        </w:rPr>
        <w:t xml:space="preserve"> объект</w:t>
      </w:r>
      <w:r>
        <w:rPr>
          <w:rFonts w:ascii="Times New Roman" w:hAnsi="Times New Roman"/>
          <w:bCs/>
          <w:iCs/>
          <w:sz w:val="24"/>
          <w:szCs w:val="24"/>
        </w:rPr>
        <w:t>а</w:t>
      </w:r>
      <w:r w:rsidRPr="006E061A">
        <w:rPr>
          <w:rFonts w:ascii="Times New Roman" w:hAnsi="Times New Roman"/>
          <w:bCs/>
          <w:iCs/>
          <w:sz w:val="24"/>
          <w:szCs w:val="24"/>
        </w:rPr>
        <w:t xml:space="preserve"> капитального строительства государственной собственности области, из них </w:t>
      </w:r>
      <w:r>
        <w:rPr>
          <w:rFonts w:ascii="Times New Roman" w:hAnsi="Times New Roman"/>
          <w:bCs/>
          <w:iCs/>
          <w:sz w:val="24"/>
          <w:szCs w:val="24"/>
        </w:rPr>
        <w:t>1</w:t>
      </w:r>
      <w:r w:rsidRPr="006E061A">
        <w:rPr>
          <w:rFonts w:ascii="Times New Roman" w:hAnsi="Times New Roman"/>
          <w:bCs/>
          <w:iCs/>
          <w:sz w:val="24"/>
          <w:szCs w:val="24"/>
        </w:rPr>
        <w:t>3</w:t>
      </w:r>
      <w:r>
        <w:rPr>
          <w:rFonts w:ascii="Times New Roman" w:hAnsi="Times New Roman"/>
          <w:bCs/>
          <w:iCs/>
          <w:sz w:val="24"/>
          <w:szCs w:val="24"/>
        </w:rPr>
        <w:t xml:space="preserve"> </w:t>
      </w:r>
      <w:r w:rsidRPr="006E061A">
        <w:rPr>
          <w:rFonts w:ascii="Times New Roman" w:hAnsi="Times New Roman"/>
          <w:bCs/>
          <w:iCs/>
          <w:sz w:val="24"/>
          <w:szCs w:val="24"/>
        </w:rPr>
        <w:t xml:space="preserve">объектов дорожного хозяйства с объемами бюджетных ассигнований </w:t>
      </w:r>
      <w:r>
        <w:rPr>
          <w:rFonts w:ascii="Times New Roman" w:hAnsi="Times New Roman"/>
          <w:bCs/>
          <w:iCs/>
          <w:sz w:val="24"/>
          <w:szCs w:val="24"/>
        </w:rPr>
        <w:t>294118,3</w:t>
      </w:r>
      <w:r w:rsidRPr="006E061A">
        <w:rPr>
          <w:rFonts w:ascii="Times New Roman" w:hAnsi="Times New Roman"/>
          <w:bCs/>
          <w:iCs/>
          <w:sz w:val="24"/>
          <w:szCs w:val="24"/>
        </w:rPr>
        <w:t xml:space="preserve"> тыс. рублей. На плановый период 201</w:t>
      </w:r>
      <w:r>
        <w:rPr>
          <w:rFonts w:ascii="Times New Roman" w:hAnsi="Times New Roman"/>
          <w:bCs/>
          <w:iCs/>
          <w:sz w:val="24"/>
          <w:szCs w:val="24"/>
        </w:rPr>
        <w:t>9</w:t>
      </w:r>
      <w:r w:rsidRPr="006E061A">
        <w:rPr>
          <w:rFonts w:ascii="Times New Roman" w:hAnsi="Times New Roman"/>
          <w:bCs/>
          <w:iCs/>
          <w:sz w:val="24"/>
          <w:szCs w:val="24"/>
        </w:rPr>
        <w:t xml:space="preserve"> и 20</w:t>
      </w:r>
      <w:r>
        <w:rPr>
          <w:rFonts w:ascii="Times New Roman" w:hAnsi="Times New Roman"/>
          <w:bCs/>
          <w:iCs/>
          <w:sz w:val="24"/>
          <w:szCs w:val="24"/>
        </w:rPr>
        <w:t>20</w:t>
      </w:r>
      <w:r w:rsidRPr="006E061A">
        <w:rPr>
          <w:rFonts w:ascii="Times New Roman" w:hAnsi="Times New Roman"/>
          <w:bCs/>
          <w:iCs/>
          <w:sz w:val="24"/>
          <w:szCs w:val="24"/>
        </w:rPr>
        <w:t xml:space="preserve"> годов в Перечень объектов капитального строительства включены: в 201</w:t>
      </w:r>
      <w:r>
        <w:rPr>
          <w:rFonts w:ascii="Times New Roman" w:hAnsi="Times New Roman"/>
          <w:bCs/>
          <w:iCs/>
          <w:sz w:val="24"/>
          <w:szCs w:val="24"/>
        </w:rPr>
        <w:t>9</w:t>
      </w:r>
      <w:r w:rsidRPr="006E061A">
        <w:rPr>
          <w:rFonts w:ascii="Times New Roman" w:hAnsi="Times New Roman"/>
          <w:bCs/>
          <w:iCs/>
          <w:sz w:val="24"/>
          <w:szCs w:val="24"/>
        </w:rPr>
        <w:t xml:space="preserve"> году </w:t>
      </w:r>
      <w:r>
        <w:rPr>
          <w:rFonts w:ascii="Times New Roman" w:hAnsi="Times New Roman"/>
          <w:bCs/>
          <w:iCs/>
          <w:sz w:val="24"/>
          <w:szCs w:val="24"/>
        </w:rPr>
        <w:t>–</w:t>
      </w:r>
      <w:r w:rsidRPr="006E061A">
        <w:rPr>
          <w:rFonts w:ascii="Times New Roman" w:hAnsi="Times New Roman"/>
          <w:bCs/>
          <w:iCs/>
          <w:sz w:val="24"/>
          <w:szCs w:val="24"/>
        </w:rPr>
        <w:t xml:space="preserve"> 2</w:t>
      </w:r>
      <w:r>
        <w:rPr>
          <w:rFonts w:ascii="Times New Roman" w:hAnsi="Times New Roman"/>
          <w:bCs/>
          <w:iCs/>
          <w:sz w:val="24"/>
          <w:szCs w:val="24"/>
        </w:rPr>
        <w:t xml:space="preserve">0 </w:t>
      </w:r>
      <w:r w:rsidRPr="006E061A">
        <w:rPr>
          <w:rFonts w:ascii="Times New Roman" w:hAnsi="Times New Roman"/>
          <w:bCs/>
          <w:iCs/>
          <w:sz w:val="24"/>
          <w:szCs w:val="24"/>
        </w:rPr>
        <w:t xml:space="preserve">объектов капитального строительства государственной собственности Амурской области, из них </w:t>
      </w:r>
      <w:r>
        <w:rPr>
          <w:rFonts w:ascii="Times New Roman" w:hAnsi="Times New Roman"/>
          <w:bCs/>
          <w:iCs/>
          <w:sz w:val="24"/>
          <w:szCs w:val="24"/>
        </w:rPr>
        <w:t xml:space="preserve">12 </w:t>
      </w:r>
      <w:r w:rsidRPr="006E061A">
        <w:rPr>
          <w:rFonts w:ascii="Times New Roman" w:hAnsi="Times New Roman"/>
          <w:bCs/>
          <w:iCs/>
          <w:sz w:val="24"/>
          <w:szCs w:val="24"/>
        </w:rPr>
        <w:t xml:space="preserve">объектов дорожного хозяйства с объемами бюджетных ассигнований </w:t>
      </w:r>
      <w:r>
        <w:rPr>
          <w:rFonts w:ascii="Times New Roman" w:hAnsi="Times New Roman"/>
          <w:bCs/>
          <w:iCs/>
          <w:sz w:val="24"/>
          <w:szCs w:val="24"/>
        </w:rPr>
        <w:t>279240,3</w:t>
      </w:r>
      <w:r w:rsidRPr="006E061A">
        <w:rPr>
          <w:rFonts w:ascii="Times New Roman" w:hAnsi="Times New Roman"/>
          <w:bCs/>
          <w:iCs/>
          <w:sz w:val="24"/>
          <w:szCs w:val="24"/>
        </w:rPr>
        <w:t xml:space="preserve"> тыс. рублей, в 20</w:t>
      </w:r>
      <w:r>
        <w:rPr>
          <w:rFonts w:ascii="Times New Roman" w:hAnsi="Times New Roman"/>
          <w:bCs/>
          <w:iCs/>
          <w:sz w:val="24"/>
          <w:szCs w:val="24"/>
        </w:rPr>
        <w:t>20</w:t>
      </w:r>
      <w:r w:rsidRPr="006E061A">
        <w:rPr>
          <w:rFonts w:ascii="Times New Roman" w:hAnsi="Times New Roman"/>
          <w:bCs/>
          <w:iCs/>
          <w:sz w:val="24"/>
          <w:szCs w:val="24"/>
        </w:rPr>
        <w:t xml:space="preserve"> году - </w:t>
      </w:r>
      <w:r>
        <w:rPr>
          <w:rFonts w:ascii="Times New Roman" w:hAnsi="Times New Roman"/>
          <w:bCs/>
          <w:iCs/>
          <w:sz w:val="24"/>
          <w:szCs w:val="24"/>
        </w:rPr>
        <w:t>22</w:t>
      </w:r>
      <w:r w:rsidRPr="006E061A">
        <w:rPr>
          <w:rFonts w:ascii="Times New Roman" w:hAnsi="Times New Roman"/>
          <w:bCs/>
          <w:iCs/>
          <w:sz w:val="24"/>
          <w:szCs w:val="24"/>
        </w:rPr>
        <w:t xml:space="preserve"> объект</w:t>
      </w:r>
      <w:r>
        <w:rPr>
          <w:rFonts w:ascii="Times New Roman" w:hAnsi="Times New Roman"/>
          <w:bCs/>
          <w:iCs/>
          <w:sz w:val="24"/>
          <w:szCs w:val="24"/>
        </w:rPr>
        <w:t>а</w:t>
      </w:r>
      <w:r w:rsidRPr="006E061A">
        <w:rPr>
          <w:rFonts w:ascii="Times New Roman" w:hAnsi="Times New Roman"/>
          <w:bCs/>
          <w:iCs/>
          <w:sz w:val="24"/>
          <w:szCs w:val="24"/>
        </w:rPr>
        <w:t xml:space="preserve"> капитального строительства государственной собственности Амурской области, </w:t>
      </w:r>
      <w:r>
        <w:rPr>
          <w:rFonts w:ascii="Times New Roman" w:hAnsi="Times New Roman"/>
          <w:bCs/>
          <w:iCs/>
          <w:sz w:val="24"/>
          <w:szCs w:val="24"/>
        </w:rPr>
        <w:br/>
      </w:r>
      <w:r w:rsidRPr="006E061A">
        <w:rPr>
          <w:rFonts w:ascii="Times New Roman" w:hAnsi="Times New Roman"/>
          <w:bCs/>
          <w:iCs/>
          <w:sz w:val="24"/>
          <w:szCs w:val="24"/>
        </w:rPr>
        <w:t xml:space="preserve">из них </w:t>
      </w:r>
      <w:r>
        <w:rPr>
          <w:rFonts w:ascii="Times New Roman" w:hAnsi="Times New Roman"/>
          <w:bCs/>
          <w:iCs/>
          <w:sz w:val="24"/>
          <w:szCs w:val="24"/>
        </w:rPr>
        <w:t xml:space="preserve">17 </w:t>
      </w:r>
      <w:r w:rsidRPr="006E061A">
        <w:rPr>
          <w:rFonts w:ascii="Times New Roman" w:hAnsi="Times New Roman"/>
          <w:bCs/>
          <w:iCs/>
          <w:sz w:val="24"/>
          <w:szCs w:val="24"/>
        </w:rPr>
        <w:t xml:space="preserve">объектов дорожного хозяйства с объемами бюджетных ассигнований </w:t>
      </w:r>
      <w:r>
        <w:rPr>
          <w:rFonts w:ascii="Times New Roman" w:hAnsi="Times New Roman"/>
          <w:bCs/>
          <w:iCs/>
          <w:sz w:val="24"/>
          <w:szCs w:val="24"/>
        </w:rPr>
        <w:t>448493,3</w:t>
      </w:r>
      <w:r w:rsidRPr="006E061A">
        <w:rPr>
          <w:rFonts w:ascii="Times New Roman" w:hAnsi="Times New Roman"/>
          <w:bCs/>
          <w:iCs/>
          <w:sz w:val="24"/>
          <w:szCs w:val="24"/>
        </w:rPr>
        <w:t xml:space="preserve"> тыс. рублей.</w:t>
      </w:r>
    </w:p>
    <w:p w:rsidR="00B80503" w:rsidRPr="006E061A"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6E061A">
        <w:rPr>
          <w:rFonts w:ascii="Times New Roman" w:hAnsi="Times New Roman"/>
          <w:bCs/>
          <w:iCs/>
          <w:sz w:val="24"/>
          <w:szCs w:val="24"/>
        </w:rPr>
        <w:t>Согласно представленным приложениям №№ 10, 11 и Перечню объектов капитального строительства областной собственности на 201</w:t>
      </w:r>
      <w:r>
        <w:rPr>
          <w:rFonts w:ascii="Times New Roman" w:hAnsi="Times New Roman"/>
          <w:bCs/>
          <w:iCs/>
          <w:sz w:val="24"/>
          <w:szCs w:val="24"/>
        </w:rPr>
        <w:t>8</w:t>
      </w:r>
      <w:r w:rsidRPr="006E061A">
        <w:rPr>
          <w:rFonts w:ascii="Times New Roman" w:hAnsi="Times New Roman"/>
          <w:bCs/>
          <w:iCs/>
          <w:sz w:val="24"/>
          <w:szCs w:val="24"/>
        </w:rPr>
        <w:t>-20</w:t>
      </w:r>
      <w:r>
        <w:rPr>
          <w:rFonts w:ascii="Times New Roman" w:hAnsi="Times New Roman"/>
          <w:bCs/>
          <w:iCs/>
          <w:sz w:val="24"/>
          <w:szCs w:val="24"/>
        </w:rPr>
        <w:t>20</w:t>
      </w:r>
      <w:r w:rsidRPr="006E061A">
        <w:rPr>
          <w:rFonts w:ascii="Times New Roman" w:hAnsi="Times New Roman"/>
          <w:bCs/>
          <w:iCs/>
          <w:sz w:val="24"/>
          <w:szCs w:val="24"/>
        </w:rPr>
        <w:t xml:space="preserve"> годы объемы предусмотренных законопроектом бюджетных ассигнований на капитальные вложения в объекты государственной собственности </w:t>
      </w:r>
      <w:r>
        <w:rPr>
          <w:rFonts w:ascii="Times New Roman" w:hAnsi="Times New Roman"/>
          <w:bCs/>
          <w:iCs/>
          <w:sz w:val="24"/>
          <w:szCs w:val="24"/>
        </w:rPr>
        <w:t xml:space="preserve">на 2018 год </w:t>
      </w:r>
      <w:r w:rsidRPr="006E061A">
        <w:rPr>
          <w:rFonts w:ascii="Times New Roman" w:hAnsi="Times New Roman"/>
          <w:bCs/>
          <w:iCs/>
          <w:sz w:val="24"/>
          <w:szCs w:val="24"/>
        </w:rPr>
        <w:t>составляют</w:t>
      </w:r>
      <w:r>
        <w:rPr>
          <w:rFonts w:ascii="Times New Roman" w:hAnsi="Times New Roman"/>
          <w:bCs/>
          <w:iCs/>
          <w:sz w:val="24"/>
          <w:szCs w:val="24"/>
        </w:rPr>
        <w:t xml:space="preserve"> 3</w:t>
      </w:r>
      <w:r w:rsidRPr="006E061A">
        <w:rPr>
          <w:rFonts w:ascii="Times New Roman" w:hAnsi="Times New Roman"/>
          <w:bCs/>
          <w:iCs/>
          <w:sz w:val="24"/>
          <w:szCs w:val="24"/>
        </w:rPr>
        <w:t>6</w:t>
      </w:r>
      <w:r>
        <w:rPr>
          <w:rFonts w:ascii="Times New Roman" w:hAnsi="Times New Roman"/>
          <w:bCs/>
          <w:iCs/>
          <w:sz w:val="24"/>
          <w:szCs w:val="24"/>
        </w:rPr>
        <w:t>7312</w:t>
      </w:r>
      <w:r w:rsidRPr="006E061A">
        <w:rPr>
          <w:rFonts w:ascii="Times New Roman" w:hAnsi="Times New Roman"/>
          <w:bCs/>
          <w:iCs/>
          <w:sz w:val="24"/>
          <w:szCs w:val="24"/>
        </w:rPr>
        <w:t>,</w:t>
      </w:r>
      <w:r>
        <w:rPr>
          <w:rFonts w:ascii="Times New Roman" w:hAnsi="Times New Roman"/>
          <w:bCs/>
          <w:iCs/>
          <w:sz w:val="24"/>
          <w:szCs w:val="24"/>
        </w:rPr>
        <w:t>3</w:t>
      </w:r>
      <w:r w:rsidRPr="006E061A">
        <w:rPr>
          <w:rFonts w:ascii="Times New Roman" w:hAnsi="Times New Roman"/>
          <w:bCs/>
          <w:iCs/>
          <w:sz w:val="24"/>
          <w:szCs w:val="24"/>
        </w:rPr>
        <w:t xml:space="preserve"> тыс. рублей, из которых:</w:t>
      </w:r>
    </w:p>
    <w:p w:rsidR="00B80503" w:rsidRDefault="00B80503" w:rsidP="00B80503">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6E061A">
        <w:rPr>
          <w:rFonts w:ascii="Times New Roman" w:hAnsi="Times New Roman"/>
          <w:bCs/>
          <w:iCs/>
          <w:sz w:val="24"/>
          <w:szCs w:val="24"/>
        </w:rPr>
        <w:t>2</w:t>
      </w:r>
      <w:r>
        <w:rPr>
          <w:rFonts w:ascii="Times New Roman" w:hAnsi="Times New Roman"/>
          <w:bCs/>
          <w:iCs/>
          <w:sz w:val="24"/>
          <w:szCs w:val="24"/>
        </w:rPr>
        <w:t>7316</w:t>
      </w:r>
      <w:r w:rsidRPr="006E061A">
        <w:rPr>
          <w:rFonts w:ascii="Times New Roman" w:hAnsi="Times New Roman"/>
          <w:bCs/>
          <w:iCs/>
          <w:sz w:val="24"/>
          <w:szCs w:val="24"/>
        </w:rPr>
        <w:t>,</w:t>
      </w:r>
      <w:r>
        <w:rPr>
          <w:rFonts w:ascii="Times New Roman" w:hAnsi="Times New Roman"/>
          <w:bCs/>
          <w:iCs/>
          <w:sz w:val="24"/>
          <w:szCs w:val="24"/>
        </w:rPr>
        <w:t>4</w:t>
      </w:r>
      <w:r w:rsidRPr="006E061A">
        <w:rPr>
          <w:rFonts w:ascii="Times New Roman" w:hAnsi="Times New Roman"/>
          <w:bCs/>
          <w:iCs/>
          <w:sz w:val="24"/>
          <w:szCs w:val="24"/>
        </w:rPr>
        <w:t xml:space="preserve"> тыс. рублей в рамках подпрограммы «Профилактика заболеваний и формирование здорового образа жизни. </w:t>
      </w:r>
      <w:r w:rsidR="001F1942" w:rsidRPr="006E061A">
        <w:rPr>
          <w:rFonts w:ascii="Times New Roman" w:hAnsi="Times New Roman"/>
          <w:bCs/>
          <w:iCs/>
          <w:sz w:val="24"/>
          <w:szCs w:val="24"/>
        </w:rPr>
        <w:t xml:space="preserve">Развитие первичной медико-санитарной помощи» государственной программы «Развитие здравоохранения Амурской области на 2014-2020 годы» на строительство </w:t>
      </w:r>
      <w:r w:rsidR="001F1942">
        <w:rPr>
          <w:rFonts w:ascii="Times New Roman" w:hAnsi="Times New Roman"/>
          <w:bCs/>
          <w:iCs/>
          <w:sz w:val="24"/>
          <w:szCs w:val="24"/>
        </w:rPr>
        <w:t>5</w:t>
      </w:r>
      <w:r w:rsidR="001F1942" w:rsidRPr="006E061A">
        <w:rPr>
          <w:rFonts w:ascii="Times New Roman" w:hAnsi="Times New Roman"/>
          <w:bCs/>
          <w:iCs/>
          <w:sz w:val="24"/>
          <w:szCs w:val="24"/>
        </w:rPr>
        <w:t xml:space="preserve"> фельдшерско-акушерских пунктов (с.Игнашино Сковородинского района, с.</w:t>
      </w:r>
      <w:r w:rsidR="001F1942">
        <w:rPr>
          <w:rFonts w:ascii="Times New Roman" w:hAnsi="Times New Roman"/>
          <w:bCs/>
          <w:iCs/>
          <w:sz w:val="24"/>
          <w:szCs w:val="24"/>
        </w:rPr>
        <w:t xml:space="preserve"> Введеновка</w:t>
      </w:r>
      <w:r w:rsidR="001F1942" w:rsidRPr="006E061A">
        <w:rPr>
          <w:rFonts w:ascii="Times New Roman" w:hAnsi="Times New Roman"/>
          <w:bCs/>
          <w:iCs/>
          <w:sz w:val="24"/>
          <w:szCs w:val="24"/>
        </w:rPr>
        <w:t xml:space="preserve"> </w:t>
      </w:r>
      <w:r w:rsidR="001F1942">
        <w:rPr>
          <w:rFonts w:ascii="Times New Roman" w:hAnsi="Times New Roman"/>
          <w:bCs/>
          <w:iCs/>
          <w:sz w:val="24"/>
          <w:szCs w:val="24"/>
        </w:rPr>
        <w:t>Серышев</w:t>
      </w:r>
      <w:r w:rsidR="001F1942" w:rsidRPr="006E061A">
        <w:rPr>
          <w:rFonts w:ascii="Times New Roman" w:hAnsi="Times New Roman"/>
          <w:bCs/>
          <w:iCs/>
          <w:sz w:val="24"/>
          <w:szCs w:val="24"/>
        </w:rPr>
        <w:t>ского района, с.</w:t>
      </w:r>
      <w:r w:rsidR="001F1942">
        <w:rPr>
          <w:rFonts w:ascii="Times New Roman" w:hAnsi="Times New Roman"/>
          <w:bCs/>
          <w:iCs/>
          <w:sz w:val="24"/>
          <w:szCs w:val="24"/>
        </w:rPr>
        <w:t xml:space="preserve"> Иннокентьевка Архарин</w:t>
      </w:r>
      <w:r w:rsidR="001F1942" w:rsidRPr="006E061A">
        <w:rPr>
          <w:rFonts w:ascii="Times New Roman" w:hAnsi="Times New Roman"/>
          <w:bCs/>
          <w:iCs/>
          <w:sz w:val="24"/>
          <w:szCs w:val="24"/>
        </w:rPr>
        <w:t xml:space="preserve">ского района, </w:t>
      </w:r>
      <w:r w:rsidR="001F1942">
        <w:rPr>
          <w:rFonts w:ascii="Times New Roman" w:hAnsi="Times New Roman"/>
          <w:bCs/>
          <w:iCs/>
          <w:sz w:val="24"/>
          <w:szCs w:val="24"/>
        </w:rPr>
        <w:t xml:space="preserve">с. Малая Сазанка Свободненского района, </w:t>
      </w:r>
      <w:r w:rsidR="001F1942">
        <w:rPr>
          <w:rFonts w:ascii="Times New Roman" w:eastAsiaTheme="minorHAnsi" w:hAnsi="Times New Roman"/>
          <w:sz w:val="24"/>
          <w:szCs w:val="24"/>
          <w:lang w:eastAsia="en-US"/>
        </w:rPr>
        <w:t xml:space="preserve">с. Селеткан Шимановского района) </w:t>
      </w:r>
      <w:r w:rsidR="001F1942" w:rsidRPr="006E061A">
        <w:rPr>
          <w:rFonts w:ascii="Times New Roman" w:hAnsi="Times New Roman"/>
          <w:bCs/>
          <w:iCs/>
          <w:sz w:val="24"/>
          <w:szCs w:val="24"/>
        </w:rPr>
        <w:t>и строительство участковой больницы в с. Стойба Селемджинского района;</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iCs/>
          <w:sz w:val="24"/>
          <w:szCs w:val="24"/>
        </w:rPr>
        <w:t>- 22314,6 тыс. рублей в рамках п</w:t>
      </w:r>
      <w:r>
        <w:rPr>
          <w:rFonts w:ascii="Times New Roman" w:eastAsiaTheme="minorHAnsi" w:hAnsi="Times New Roman"/>
          <w:sz w:val="24"/>
          <w:szCs w:val="24"/>
          <w:lang w:eastAsia="en-US"/>
        </w:rPr>
        <w:t xml:space="preserve">одпрограммы «Охрана здоровья матери и ребенка» </w:t>
      </w:r>
      <w:r w:rsidRPr="006E061A">
        <w:rPr>
          <w:rFonts w:ascii="Times New Roman" w:hAnsi="Times New Roman"/>
          <w:bCs/>
          <w:iCs/>
          <w:sz w:val="24"/>
          <w:szCs w:val="24"/>
        </w:rPr>
        <w:t xml:space="preserve">государственной программы «Развитие здравоохранения Амурской области на </w:t>
      </w:r>
      <w:r w:rsidRPr="006E061A">
        <w:rPr>
          <w:rFonts w:ascii="Times New Roman" w:hAnsi="Times New Roman"/>
          <w:bCs/>
          <w:iCs/>
          <w:sz w:val="24"/>
          <w:szCs w:val="24"/>
        </w:rPr>
        <w:br/>
        <w:t>2014-2020 годы»</w:t>
      </w:r>
      <w:r>
        <w:rPr>
          <w:rFonts w:ascii="Times New Roman" w:hAnsi="Times New Roman"/>
          <w:bCs/>
          <w:iCs/>
          <w:sz w:val="24"/>
          <w:szCs w:val="24"/>
        </w:rPr>
        <w:t xml:space="preserve"> на строительство</w:t>
      </w:r>
      <w:r w:rsidRPr="00A655B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родильного дома в г. Свободный, реконструкцию нежилого здания под женскую консультацию ГБУЗ АО «Свободненская больница» в</w:t>
      </w:r>
      <w:r>
        <w:rPr>
          <w:rFonts w:ascii="Times New Roman" w:eastAsiaTheme="minorHAnsi" w:hAnsi="Times New Roman"/>
          <w:sz w:val="24"/>
          <w:szCs w:val="24"/>
          <w:lang w:eastAsia="en-US"/>
        </w:rPr>
        <w:br/>
        <w:t>г. Свободный, строительство здания родильного дома на 150 коек ГАУЗ АО «Благовещенская городская клиническая больница»;</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- 208,2 тыс. рублей – в рамках подпрограммы «Совершенствование организации деятельности учреждений социальной защиты и социального обслуживания населения </w:t>
      </w:r>
      <w:r>
        <w:rPr>
          <w:rFonts w:ascii="Times New Roman" w:eastAsiaTheme="minorHAnsi" w:hAnsi="Times New Roman"/>
          <w:sz w:val="24"/>
          <w:szCs w:val="24"/>
          <w:lang w:eastAsia="en-US"/>
        </w:rPr>
        <w:lastRenderedPageBreak/>
        <w:t>Амурской области» государственной программы «Развитие системы социальной защиты населения Амурской области на 2014-2020 гг.» на строительство спального корпуса психоневрологического интерната в с. Новый Быт Ромненского района;</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- 3969,0 тыс. рублей – в рамках подпрограммы «Повышение устойчивости жилых домов, основных объектов и систем жизнеобеспечения в сейсмических районах области» государственной программы «Обеспечение доступным и качественным жильем населения Амурской области на 2014-2020 годы» на строительство малоэтажного быстровозводимого жилья, г. Тында, мкр. Таежный;</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- 294118,3 тыс. рублей </w:t>
      </w:r>
      <w:r w:rsidRPr="006E061A">
        <w:rPr>
          <w:rFonts w:ascii="Times New Roman" w:hAnsi="Times New Roman"/>
          <w:bCs/>
          <w:iCs/>
          <w:sz w:val="24"/>
          <w:szCs w:val="24"/>
        </w:rPr>
        <w:t xml:space="preserve">в рамках подпрограммы «Развитие сети автомобильных дорог общего пользования Амурской области» государственной программы «Развитие транспортной системы Амурской области на 2014-2020 годы» на строительство и реконструкцию </w:t>
      </w:r>
      <w:r w:rsidR="003277FE">
        <w:rPr>
          <w:rFonts w:ascii="Times New Roman" w:hAnsi="Times New Roman"/>
          <w:bCs/>
          <w:iCs/>
          <w:sz w:val="24"/>
          <w:szCs w:val="24"/>
        </w:rPr>
        <w:br/>
      </w:r>
      <w:r w:rsidRPr="006E061A">
        <w:rPr>
          <w:rFonts w:ascii="Times New Roman" w:hAnsi="Times New Roman"/>
          <w:bCs/>
          <w:iCs/>
          <w:sz w:val="24"/>
          <w:szCs w:val="24"/>
        </w:rPr>
        <w:t>27 автомобильных дорог общего пользования Амурской области</w:t>
      </w:r>
      <w:r w:rsidR="00875B6A">
        <w:rPr>
          <w:rFonts w:ascii="Times New Roman" w:hAnsi="Times New Roman"/>
          <w:bCs/>
          <w:iCs/>
          <w:sz w:val="24"/>
          <w:szCs w:val="24"/>
        </w:rPr>
        <w:t>;</w:t>
      </w:r>
    </w:p>
    <w:p w:rsidR="00B80503" w:rsidRDefault="00B80503" w:rsidP="00B80503">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- 19385,8 тыс. рублей </w:t>
      </w:r>
      <w:r w:rsidRPr="006E061A">
        <w:rPr>
          <w:rFonts w:ascii="Times New Roman" w:hAnsi="Times New Roman"/>
          <w:bCs/>
          <w:iCs/>
          <w:sz w:val="24"/>
          <w:szCs w:val="24"/>
        </w:rPr>
        <w:t xml:space="preserve">в рамках подпрограммы «Развитие </w:t>
      </w:r>
      <w:r>
        <w:rPr>
          <w:rFonts w:ascii="Times New Roman" w:hAnsi="Times New Roman"/>
          <w:bCs/>
          <w:iCs/>
          <w:sz w:val="24"/>
          <w:szCs w:val="24"/>
        </w:rPr>
        <w:t>транспортного комплекса</w:t>
      </w:r>
      <w:r w:rsidRPr="006E061A">
        <w:rPr>
          <w:rFonts w:ascii="Times New Roman" w:hAnsi="Times New Roman"/>
          <w:bCs/>
          <w:iCs/>
          <w:sz w:val="24"/>
          <w:szCs w:val="24"/>
        </w:rPr>
        <w:t xml:space="preserve">» государственной программы «Развитие транспортной системы Амурской области на </w:t>
      </w:r>
      <w:r>
        <w:rPr>
          <w:rFonts w:ascii="Times New Roman" w:hAnsi="Times New Roman"/>
          <w:bCs/>
          <w:iCs/>
          <w:sz w:val="24"/>
          <w:szCs w:val="24"/>
        </w:rPr>
        <w:br/>
      </w:r>
      <w:r w:rsidRPr="006E061A">
        <w:rPr>
          <w:rFonts w:ascii="Times New Roman" w:hAnsi="Times New Roman"/>
          <w:bCs/>
          <w:iCs/>
          <w:sz w:val="24"/>
          <w:szCs w:val="24"/>
        </w:rPr>
        <w:t>2014-2020 годы» на</w:t>
      </w:r>
      <w:r>
        <w:rPr>
          <w:rFonts w:ascii="Times New Roman" w:hAnsi="Times New Roman"/>
          <w:bCs/>
          <w:iCs/>
          <w:sz w:val="24"/>
          <w:szCs w:val="24"/>
        </w:rPr>
        <w:t xml:space="preserve"> приобретение вертолета.</w:t>
      </w:r>
    </w:p>
    <w:p w:rsidR="00B80503" w:rsidRDefault="00B80503" w:rsidP="00B80503">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ab/>
        <w:t xml:space="preserve">Проведенный анализ мероприятий государственных программ Амурской области, предусматривающих строительство объектов государственной собственности, и объемов расходов на их строительство в представленном к первому чтению законопроекте об областном бюджете на 2018 год и плановый период 2019 и 2020 годов, позволяет сделать вывод о недостаточности предусмотренных расходами областного бюджета средств на строительство объектов и введение их в эксплуатацию в сроки, определенные государственными программами. </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iCs/>
          <w:sz w:val="24"/>
          <w:szCs w:val="24"/>
        </w:rPr>
        <w:tab/>
        <w:t xml:space="preserve">Так, при планируемом объеме расходов областного бюджета на </w:t>
      </w:r>
      <w:r>
        <w:rPr>
          <w:rFonts w:ascii="Times New Roman" w:eastAsiaTheme="minorHAnsi" w:hAnsi="Times New Roman"/>
          <w:sz w:val="24"/>
          <w:szCs w:val="24"/>
          <w:lang w:eastAsia="en-US"/>
        </w:rPr>
        <w:t>2018-2020 годы 65598,5 тыс. рублей</w:t>
      </w:r>
      <w:r>
        <w:rPr>
          <w:rFonts w:ascii="Times New Roman" w:hAnsi="Times New Roman"/>
          <w:bCs/>
          <w:iCs/>
          <w:sz w:val="24"/>
          <w:szCs w:val="24"/>
        </w:rPr>
        <w:t xml:space="preserve"> на </w:t>
      </w:r>
      <w:r>
        <w:rPr>
          <w:rFonts w:ascii="Times New Roman" w:eastAsiaTheme="minorHAnsi" w:hAnsi="Times New Roman"/>
          <w:sz w:val="24"/>
          <w:szCs w:val="24"/>
          <w:lang w:eastAsia="en-US"/>
        </w:rPr>
        <w:t>строительство здания родильного дома на 150 коек ГАУЗ А</w:t>
      </w:r>
      <w:r w:rsidR="003277FE">
        <w:rPr>
          <w:rFonts w:ascii="Times New Roman" w:eastAsiaTheme="minorHAnsi" w:hAnsi="Times New Roman"/>
          <w:sz w:val="24"/>
          <w:szCs w:val="24"/>
          <w:lang w:eastAsia="en-US"/>
        </w:rPr>
        <w:t>мурской области</w:t>
      </w:r>
      <w:r>
        <w:rPr>
          <w:rFonts w:ascii="Times New Roman" w:eastAsiaTheme="minorHAnsi" w:hAnsi="Times New Roman"/>
          <w:sz w:val="24"/>
          <w:szCs w:val="24"/>
          <w:lang w:eastAsia="en-US"/>
        </w:rPr>
        <w:t xml:space="preserve"> «Благовещенская городская клиническая больница», ввод объекта мероприятиями </w:t>
      </w:r>
      <w:r>
        <w:rPr>
          <w:rFonts w:ascii="Times New Roman" w:hAnsi="Times New Roman"/>
          <w:bCs/>
          <w:iCs/>
          <w:sz w:val="24"/>
          <w:szCs w:val="24"/>
        </w:rPr>
        <w:t>п</w:t>
      </w:r>
      <w:r>
        <w:rPr>
          <w:rFonts w:ascii="Times New Roman" w:eastAsiaTheme="minorHAnsi" w:hAnsi="Times New Roman"/>
          <w:sz w:val="24"/>
          <w:szCs w:val="24"/>
          <w:lang w:eastAsia="en-US"/>
        </w:rPr>
        <w:t xml:space="preserve">одпрограммы «Охрана здоровья матери и ребенка» </w:t>
      </w:r>
      <w:r w:rsidRPr="006E061A">
        <w:rPr>
          <w:rFonts w:ascii="Times New Roman" w:hAnsi="Times New Roman"/>
          <w:bCs/>
          <w:iCs/>
          <w:sz w:val="24"/>
          <w:szCs w:val="24"/>
        </w:rPr>
        <w:t>государственной программы «Развитие здравоохранения Амурской области на 2014-2020 годы»</w:t>
      </w:r>
      <w:r>
        <w:rPr>
          <w:rFonts w:ascii="Times New Roman" w:eastAsiaTheme="minorHAnsi" w:hAnsi="Times New Roman"/>
          <w:sz w:val="24"/>
          <w:szCs w:val="24"/>
          <w:lang w:eastAsia="en-US"/>
        </w:rPr>
        <w:t xml:space="preserve"> запланирован в </w:t>
      </w:r>
      <w:r>
        <w:rPr>
          <w:rFonts w:ascii="Times New Roman" w:eastAsiaTheme="minorHAnsi" w:hAnsi="Times New Roman"/>
          <w:sz w:val="24"/>
          <w:szCs w:val="24"/>
          <w:lang w:eastAsia="en-US"/>
        </w:rPr>
        <w:br/>
        <w:t xml:space="preserve">2020 году, что при предусмотренных объемах финансирования крайне недостаточно и несет значительные риски невыполнения программного мероприятия и рост </w:t>
      </w:r>
      <w:r w:rsidR="00875B6A">
        <w:rPr>
          <w:rFonts w:ascii="Times New Roman" w:eastAsiaTheme="minorHAnsi" w:hAnsi="Times New Roman"/>
          <w:sz w:val="24"/>
          <w:szCs w:val="24"/>
          <w:lang w:eastAsia="en-US"/>
        </w:rPr>
        <w:t xml:space="preserve">числа </w:t>
      </w:r>
      <w:r>
        <w:rPr>
          <w:rFonts w:ascii="Times New Roman" w:eastAsiaTheme="minorHAnsi" w:hAnsi="Times New Roman"/>
          <w:sz w:val="24"/>
          <w:szCs w:val="24"/>
          <w:lang w:eastAsia="en-US"/>
        </w:rPr>
        <w:t xml:space="preserve">объектов незавершенного строительства. Аналогичная ситуация по объектам - </w:t>
      </w:r>
      <w:r>
        <w:rPr>
          <w:rFonts w:ascii="Times New Roman" w:hAnsi="Times New Roman"/>
          <w:bCs/>
          <w:iCs/>
          <w:sz w:val="24"/>
          <w:szCs w:val="24"/>
        </w:rPr>
        <w:t>строительство</w:t>
      </w:r>
      <w:r w:rsidRPr="00A655B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родильного дома в г. Свободный, реконструкция нежилого здания под женскую консультацию ГБУЗ АО «Свободненская больница» в г. Свободный, ввод которых запланирован на 2019 год.</w:t>
      </w:r>
    </w:p>
    <w:p w:rsidR="00B80503" w:rsidRDefault="00B80503" w:rsidP="00B8050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 объекту «Психоневрологический интернат в с. Новый Быт Ромненского района.</w:t>
      </w:r>
    </w:p>
    <w:p w:rsidR="00B80503" w:rsidRDefault="00B80503" w:rsidP="00B8050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Спальный корпус (1очередь)», который является объектом незавершенного строительства с объемами затрат </w:t>
      </w:r>
      <w:r w:rsidRPr="00733597">
        <w:rPr>
          <w:rFonts w:ascii="Times New Roman" w:eastAsiaTheme="minorHAnsi" w:hAnsi="Times New Roman"/>
          <w:sz w:val="24"/>
          <w:szCs w:val="24"/>
        </w:rPr>
        <w:t xml:space="preserve">10734,0 тыс. рублей, </w:t>
      </w:r>
      <w:r>
        <w:rPr>
          <w:rFonts w:ascii="Times New Roman" w:eastAsiaTheme="minorHAnsi" w:hAnsi="Times New Roman"/>
          <w:sz w:val="24"/>
          <w:szCs w:val="24"/>
        </w:rPr>
        <w:t>работы на объекте начаты в 2011 году и прекращены в 2014 году</w:t>
      </w:r>
      <w:r w:rsidRPr="00215A00">
        <w:rPr>
          <w:rFonts w:ascii="Times New Roman" w:eastAsiaTheme="minorHAnsi" w:hAnsi="Times New Roman"/>
          <w:sz w:val="24"/>
          <w:szCs w:val="24"/>
        </w:rPr>
        <w:t xml:space="preserve"> </w:t>
      </w:r>
      <w:r w:rsidRPr="00733597">
        <w:rPr>
          <w:rFonts w:ascii="Times New Roman" w:eastAsiaTheme="minorHAnsi" w:hAnsi="Times New Roman"/>
          <w:sz w:val="24"/>
          <w:szCs w:val="24"/>
        </w:rPr>
        <w:t xml:space="preserve">в связи с отсутствием </w:t>
      </w:r>
      <w:r>
        <w:rPr>
          <w:rFonts w:ascii="Times New Roman" w:eastAsiaTheme="minorHAnsi" w:hAnsi="Times New Roman"/>
          <w:sz w:val="24"/>
          <w:szCs w:val="24"/>
        </w:rPr>
        <w:t>средст</w:t>
      </w:r>
      <w:r w:rsidRPr="00733597">
        <w:rPr>
          <w:rFonts w:ascii="Times New Roman" w:eastAsiaTheme="minorHAnsi" w:hAnsi="Times New Roman"/>
          <w:sz w:val="24"/>
          <w:szCs w:val="24"/>
        </w:rPr>
        <w:t xml:space="preserve">в, </w:t>
      </w:r>
      <w:r>
        <w:rPr>
          <w:rFonts w:ascii="Times New Roman" w:eastAsiaTheme="minorHAnsi" w:hAnsi="Times New Roman"/>
          <w:sz w:val="24"/>
          <w:szCs w:val="24"/>
        </w:rPr>
        <w:t xml:space="preserve">при сметной стоимости строительства объекта </w:t>
      </w:r>
      <w:r>
        <w:rPr>
          <w:rFonts w:ascii="Times New Roman" w:eastAsiaTheme="minorHAnsi" w:hAnsi="Times New Roman"/>
          <w:sz w:val="24"/>
          <w:szCs w:val="24"/>
          <w:lang w:eastAsia="en-US"/>
        </w:rPr>
        <w:t xml:space="preserve">57705,1 тыс. рублей, законопроектом предусмотрены расходы областного бюджета на </w:t>
      </w:r>
      <w:r>
        <w:rPr>
          <w:rFonts w:ascii="Times New Roman" w:eastAsiaTheme="minorHAnsi" w:hAnsi="Times New Roman"/>
          <w:sz w:val="24"/>
          <w:szCs w:val="24"/>
          <w:lang w:eastAsia="en-US"/>
        </w:rPr>
        <w:br/>
        <w:t>2018-2020 годы в объеме 670,4 тыс. рублей, что не позволит обеспечить планируемый государственной программой срок ввода объекта в эксплуатацию – в 2020 году.</w:t>
      </w:r>
    </w:p>
    <w:p w:rsidR="00B80503"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6E061A">
        <w:rPr>
          <w:rFonts w:ascii="Times New Roman" w:hAnsi="Times New Roman"/>
          <w:bCs/>
          <w:iCs/>
          <w:sz w:val="24"/>
          <w:szCs w:val="24"/>
        </w:rPr>
        <w:t xml:space="preserve">В соответствии со статьей 12 Закона Амурской области от 31.08.2007 № 368-ОЗ </w:t>
      </w:r>
      <w:r w:rsidRPr="006E061A">
        <w:rPr>
          <w:rFonts w:ascii="Times New Roman" w:hAnsi="Times New Roman"/>
          <w:bCs/>
          <w:iCs/>
          <w:sz w:val="24"/>
          <w:szCs w:val="24"/>
        </w:rPr>
        <w:br/>
        <w:t xml:space="preserve">«О бюджетном процессе в Амурской области» </w:t>
      </w:r>
      <w:r w:rsidRPr="006E061A">
        <w:rPr>
          <w:rFonts w:ascii="Times New Roman" w:hAnsi="Times New Roman"/>
          <w:sz w:val="24"/>
          <w:szCs w:val="24"/>
        </w:rPr>
        <w:t>бюджетные ассигнования на осуществление бюджетных инвестиций в объекты государственной собственности области, софинансирование капитальных вложений в которые осуществляется за счет межбюджетных субсидий из федерального бюджета, отражаются раздельно по каждому объекту на очередной финансовый год и плановый период и отражаются в приложении к закону об областном бюджете.</w:t>
      </w:r>
      <w:r>
        <w:rPr>
          <w:rFonts w:ascii="Times New Roman" w:hAnsi="Times New Roman"/>
          <w:sz w:val="24"/>
          <w:szCs w:val="24"/>
        </w:rPr>
        <w:t xml:space="preserve"> </w:t>
      </w:r>
      <w:r w:rsidRPr="006E061A">
        <w:rPr>
          <w:rFonts w:ascii="Times New Roman" w:hAnsi="Times New Roman"/>
          <w:bCs/>
          <w:iCs/>
          <w:sz w:val="24"/>
          <w:szCs w:val="24"/>
        </w:rPr>
        <w:t xml:space="preserve">Представленный </w:t>
      </w:r>
      <w:r>
        <w:rPr>
          <w:rFonts w:ascii="Times New Roman" w:hAnsi="Times New Roman"/>
          <w:bCs/>
          <w:iCs/>
          <w:sz w:val="24"/>
          <w:szCs w:val="24"/>
        </w:rPr>
        <w:t xml:space="preserve">в первом чтении </w:t>
      </w:r>
      <w:r w:rsidRPr="006E061A">
        <w:rPr>
          <w:rFonts w:ascii="Times New Roman" w:hAnsi="Times New Roman"/>
          <w:bCs/>
          <w:iCs/>
          <w:sz w:val="24"/>
          <w:szCs w:val="24"/>
        </w:rPr>
        <w:t>законопроект об областном бюджете на 201</w:t>
      </w:r>
      <w:r>
        <w:rPr>
          <w:rFonts w:ascii="Times New Roman" w:hAnsi="Times New Roman"/>
          <w:bCs/>
          <w:iCs/>
          <w:sz w:val="24"/>
          <w:szCs w:val="24"/>
        </w:rPr>
        <w:t>8</w:t>
      </w:r>
      <w:r w:rsidRPr="006E061A">
        <w:rPr>
          <w:rFonts w:ascii="Times New Roman" w:hAnsi="Times New Roman"/>
          <w:bCs/>
          <w:iCs/>
          <w:sz w:val="24"/>
          <w:szCs w:val="24"/>
        </w:rPr>
        <w:t xml:space="preserve"> год и плановый период 201</w:t>
      </w:r>
      <w:r>
        <w:rPr>
          <w:rFonts w:ascii="Times New Roman" w:hAnsi="Times New Roman"/>
          <w:bCs/>
          <w:iCs/>
          <w:sz w:val="24"/>
          <w:szCs w:val="24"/>
        </w:rPr>
        <w:t>9</w:t>
      </w:r>
      <w:r w:rsidRPr="006E061A">
        <w:rPr>
          <w:rFonts w:ascii="Times New Roman" w:hAnsi="Times New Roman"/>
          <w:bCs/>
          <w:iCs/>
          <w:sz w:val="24"/>
          <w:szCs w:val="24"/>
        </w:rPr>
        <w:t xml:space="preserve"> и 20</w:t>
      </w:r>
      <w:r>
        <w:rPr>
          <w:rFonts w:ascii="Times New Roman" w:hAnsi="Times New Roman"/>
          <w:bCs/>
          <w:iCs/>
          <w:sz w:val="24"/>
          <w:szCs w:val="24"/>
        </w:rPr>
        <w:t>20</w:t>
      </w:r>
      <w:r w:rsidRPr="006E061A">
        <w:rPr>
          <w:rFonts w:ascii="Times New Roman" w:hAnsi="Times New Roman"/>
          <w:bCs/>
          <w:iCs/>
          <w:sz w:val="24"/>
          <w:szCs w:val="24"/>
        </w:rPr>
        <w:t xml:space="preserve"> годов </w:t>
      </w:r>
      <w:r>
        <w:rPr>
          <w:rFonts w:ascii="Times New Roman" w:hAnsi="Times New Roman"/>
          <w:bCs/>
          <w:iCs/>
          <w:sz w:val="24"/>
          <w:szCs w:val="24"/>
        </w:rPr>
        <w:t xml:space="preserve">не </w:t>
      </w:r>
      <w:r w:rsidRPr="006E061A">
        <w:rPr>
          <w:rFonts w:ascii="Times New Roman" w:hAnsi="Times New Roman"/>
          <w:bCs/>
          <w:iCs/>
          <w:sz w:val="24"/>
          <w:szCs w:val="24"/>
        </w:rPr>
        <w:t xml:space="preserve">содержит </w:t>
      </w:r>
      <w:r>
        <w:rPr>
          <w:rFonts w:ascii="Times New Roman" w:hAnsi="Times New Roman"/>
          <w:bCs/>
          <w:iCs/>
          <w:sz w:val="24"/>
          <w:szCs w:val="24"/>
        </w:rPr>
        <w:t>отдельного приложения.</w:t>
      </w:r>
    </w:p>
    <w:p w:rsidR="00B80503" w:rsidRDefault="00B80503" w:rsidP="00B80503">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Контрольно-счетная палата области отмечает</w:t>
      </w:r>
      <w:r>
        <w:rPr>
          <w:rFonts w:ascii="Times New Roman" w:hAnsi="Times New Roman"/>
          <w:bCs/>
          <w:iCs/>
          <w:sz w:val="24"/>
          <w:szCs w:val="24"/>
        </w:rPr>
        <w:t xml:space="preserve"> наличие значительных объемов незавершенного строительства по объектам государственной собственности области, в том числе объектов </w:t>
      </w:r>
      <w:r w:rsidRPr="00832590">
        <w:rPr>
          <w:rFonts w:ascii="Times New Roman" w:hAnsi="Times New Roman"/>
          <w:bCs/>
          <w:iCs/>
          <w:sz w:val="24"/>
          <w:szCs w:val="24"/>
        </w:rPr>
        <w:t xml:space="preserve">с высокой степенью готовности, </w:t>
      </w:r>
      <w:r>
        <w:rPr>
          <w:rFonts w:ascii="Times New Roman" w:hAnsi="Times New Roman"/>
          <w:bCs/>
          <w:iCs/>
          <w:sz w:val="24"/>
          <w:szCs w:val="24"/>
        </w:rPr>
        <w:t>не обеспеченных финансированием.</w:t>
      </w:r>
    </w:p>
    <w:p w:rsidR="00B80503" w:rsidRPr="00BD03F1" w:rsidRDefault="00B80503" w:rsidP="00B80503">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Так, законопроектом об областном бюджете </w:t>
      </w:r>
      <w:r w:rsidRPr="00832590">
        <w:rPr>
          <w:rFonts w:ascii="Times New Roman" w:hAnsi="Times New Roman"/>
          <w:bCs/>
          <w:iCs/>
          <w:sz w:val="24"/>
          <w:szCs w:val="24"/>
        </w:rPr>
        <w:t>на 201</w:t>
      </w:r>
      <w:r>
        <w:rPr>
          <w:rFonts w:ascii="Times New Roman" w:hAnsi="Times New Roman"/>
          <w:bCs/>
          <w:iCs/>
          <w:sz w:val="24"/>
          <w:szCs w:val="24"/>
        </w:rPr>
        <w:t xml:space="preserve">8 и плановый период 2019 и </w:t>
      </w:r>
      <w:r>
        <w:rPr>
          <w:rFonts w:ascii="Times New Roman" w:hAnsi="Times New Roman"/>
          <w:bCs/>
          <w:iCs/>
          <w:sz w:val="24"/>
          <w:szCs w:val="24"/>
        </w:rPr>
        <w:br/>
        <w:t xml:space="preserve">2020 годов </w:t>
      </w:r>
      <w:r w:rsidRPr="00BD03F1">
        <w:rPr>
          <w:rFonts w:ascii="Times New Roman" w:hAnsi="Times New Roman"/>
          <w:bCs/>
          <w:iCs/>
          <w:sz w:val="24"/>
          <w:szCs w:val="24"/>
        </w:rPr>
        <w:t xml:space="preserve">не предусмотрены расходы на завершение строительства объектов, функции </w:t>
      </w:r>
      <w:r w:rsidRPr="00BD03F1">
        <w:rPr>
          <w:rFonts w:ascii="Times New Roman" w:hAnsi="Times New Roman"/>
          <w:bCs/>
          <w:iCs/>
          <w:sz w:val="24"/>
          <w:szCs w:val="24"/>
        </w:rPr>
        <w:lastRenderedPageBreak/>
        <w:t>заказчика-застройщика по которым осуществляются ГК</w:t>
      </w:r>
      <w:r>
        <w:rPr>
          <w:rFonts w:ascii="Times New Roman" w:hAnsi="Times New Roman"/>
          <w:bCs/>
          <w:iCs/>
          <w:sz w:val="24"/>
          <w:szCs w:val="24"/>
        </w:rPr>
        <w:t>У Амурской области «Строитель»:</w:t>
      </w:r>
    </w:p>
    <w:p w:rsidR="00B80503" w:rsidRPr="008245A1" w:rsidRDefault="00B80503" w:rsidP="00472099">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8245A1">
        <w:rPr>
          <w:rFonts w:ascii="Times New Roman" w:hAnsi="Times New Roman"/>
          <w:bCs/>
          <w:iCs/>
          <w:sz w:val="24"/>
          <w:szCs w:val="24"/>
        </w:rPr>
        <w:t xml:space="preserve">«Дом-интернат для умственно отсталых детей, с. Малиновка Бурейского района» (блок В) - стоимость незавершенного строительства - 141949,3 тыс. рублей, </w:t>
      </w:r>
      <w:r w:rsidRPr="008245A1">
        <w:rPr>
          <w:rFonts w:ascii="Times New Roman" w:hAnsi="Times New Roman"/>
          <w:sz w:val="24"/>
          <w:szCs w:val="24"/>
        </w:rPr>
        <w:t xml:space="preserve">техническая готовность объекта – </w:t>
      </w:r>
      <w:r>
        <w:rPr>
          <w:rFonts w:ascii="Times New Roman" w:hAnsi="Times New Roman"/>
          <w:sz w:val="24"/>
          <w:szCs w:val="24"/>
        </w:rPr>
        <w:t>65,2</w:t>
      </w:r>
      <w:r w:rsidRPr="008245A1">
        <w:rPr>
          <w:rFonts w:ascii="Times New Roman" w:hAnsi="Times New Roman"/>
          <w:sz w:val="24"/>
          <w:szCs w:val="24"/>
        </w:rPr>
        <w:t xml:space="preserve"> процента. </w:t>
      </w:r>
    </w:p>
    <w:p w:rsidR="00B80503" w:rsidRPr="001C263C" w:rsidRDefault="00B80503" w:rsidP="00472099">
      <w:pPr>
        <w:pStyle w:val="af5"/>
        <w:numPr>
          <w:ilvl w:val="0"/>
          <w:numId w:val="5"/>
        </w:numPr>
        <w:tabs>
          <w:tab w:val="left" w:pos="851"/>
          <w:tab w:val="left" w:pos="993"/>
        </w:tabs>
        <w:spacing w:after="0" w:line="240" w:lineRule="auto"/>
        <w:ind w:left="0" w:firstLine="709"/>
        <w:jc w:val="both"/>
      </w:pPr>
      <w:r w:rsidRPr="001C263C">
        <w:rPr>
          <w:rFonts w:ascii="Times New Roman" w:hAnsi="Times New Roman"/>
          <w:sz w:val="24"/>
          <w:szCs w:val="24"/>
          <w:lang w:val="en-US"/>
        </w:rPr>
        <w:t>II</w:t>
      </w:r>
      <w:r w:rsidRPr="001C263C">
        <w:rPr>
          <w:rFonts w:ascii="Times New Roman" w:hAnsi="Times New Roman"/>
          <w:sz w:val="24"/>
          <w:szCs w:val="24"/>
        </w:rPr>
        <w:t xml:space="preserve"> очередь Шумиловского участка временного захоронения твердых токсичных отходов – </w:t>
      </w:r>
      <w:r w:rsidRPr="001C263C">
        <w:rPr>
          <w:rFonts w:ascii="Times New Roman" w:hAnsi="Times New Roman"/>
          <w:bCs/>
          <w:iCs/>
          <w:sz w:val="24"/>
          <w:szCs w:val="24"/>
        </w:rPr>
        <w:t xml:space="preserve">стоимость незавершенного строительства - </w:t>
      </w:r>
      <w:r w:rsidRPr="001C263C">
        <w:rPr>
          <w:rFonts w:ascii="Times New Roman" w:hAnsi="Times New Roman"/>
          <w:sz w:val="24"/>
          <w:szCs w:val="24"/>
        </w:rPr>
        <w:t xml:space="preserve">14178,1 тыс. рублей, техническая готовность объекта – 28 процентов. </w:t>
      </w:r>
    </w:p>
    <w:p w:rsidR="00B80503" w:rsidRPr="006C68E4" w:rsidRDefault="00B80503" w:rsidP="00472099">
      <w:pPr>
        <w:pStyle w:val="af5"/>
        <w:numPr>
          <w:ilvl w:val="0"/>
          <w:numId w:val="5"/>
        </w:numPr>
        <w:tabs>
          <w:tab w:val="left" w:pos="851"/>
          <w:tab w:val="left" w:pos="993"/>
        </w:tabs>
        <w:spacing w:after="0" w:line="240" w:lineRule="auto"/>
        <w:ind w:left="0" w:firstLine="709"/>
        <w:jc w:val="both"/>
      </w:pPr>
      <w:r w:rsidRPr="001C263C">
        <w:rPr>
          <w:rFonts w:ascii="Times New Roman" w:hAnsi="Times New Roman" w:cs="Times New Roman"/>
          <w:sz w:val="24"/>
          <w:szCs w:val="24"/>
        </w:rPr>
        <w:t xml:space="preserve">Реконструкция очистных сооружений 2-я очередь п. Новобурейский – </w:t>
      </w:r>
      <w:r w:rsidRPr="001C263C">
        <w:rPr>
          <w:rFonts w:ascii="Times New Roman" w:hAnsi="Times New Roman"/>
          <w:bCs/>
          <w:iCs/>
          <w:sz w:val="24"/>
          <w:szCs w:val="24"/>
        </w:rPr>
        <w:t xml:space="preserve">стоимость незавершенного строительства - </w:t>
      </w:r>
      <w:r w:rsidRPr="001C263C">
        <w:rPr>
          <w:rFonts w:ascii="Times New Roman" w:hAnsi="Times New Roman" w:cs="Times New Roman"/>
          <w:sz w:val="24"/>
          <w:szCs w:val="24"/>
        </w:rPr>
        <w:t xml:space="preserve">268194,7 тыс. рублей, кроме того по счету «Материальные запасы - иное движимое имущество учреждения» числится оборудование на сумму </w:t>
      </w:r>
      <w:r w:rsidR="003277FE">
        <w:rPr>
          <w:rFonts w:ascii="Times New Roman" w:hAnsi="Times New Roman" w:cs="Times New Roman"/>
          <w:sz w:val="24"/>
          <w:szCs w:val="24"/>
        </w:rPr>
        <w:br/>
      </w:r>
      <w:r w:rsidRPr="001C263C">
        <w:rPr>
          <w:rFonts w:ascii="Times New Roman" w:hAnsi="Times New Roman" w:cs="Times New Roman"/>
          <w:sz w:val="24"/>
          <w:szCs w:val="24"/>
        </w:rPr>
        <w:t xml:space="preserve">184399,5 тыс. рублей, требующее монтажа, оплата и передача на ответственное хранение оборудования осуществлены в 2007-2009 году. Техническая готовность объекта – </w:t>
      </w:r>
      <w:r w:rsidR="003277FE">
        <w:rPr>
          <w:rFonts w:ascii="Times New Roman" w:hAnsi="Times New Roman" w:cs="Times New Roman"/>
          <w:sz w:val="24"/>
          <w:szCs w:val="24"/>
        </w:rPr>
        <w:br/>
      </w:r>
      <w:r w:rsidRPr="001C263C">
        <w:rPr>
          <w:rFonts w:ascii="Times New Roman" w:hAnsi="Times New Roman" w:cs="Times New Roman"/>
          <w:sz w:val="24"/>
          <w:szCs w:val="24"/>
        </w:rPr>
        <w:t>78,8 процента, работы не ведутся с 2012 года.</w:t>
      </w:r>
    </w:p>
    <w:p w:rsidR="00B80503" w:rsidRPr="00BD03F1" w:rsidRDefault="00B80503" w:rsidP="00B80503">
      <w:pPr>
        <w:pStyle w:val="a4"/>
        <w:tabs>
          <w:tab w:val="left" w:pos="0"/>
        </w:tabs>
        <w:spacing w:after="0" w:line="240" w:lineRule="auto"/>
        <w:ind w:left="0" w:firstLine="709"/>
        <w:jc w:val="both"/>
        <w:rPr>
          <w:rFonts w:ascii="Times New Roman" w:hAnsi="Times New Roman"/>
          <w:sz w:val="24"/>
          <w:szCs w:val="24"/>
        </w:rPr>
      </w:pPr>
      <w:r w:rsidRPr="006C68E4">
        <w:rPr>
          <w:rFonts w:ascii="Times New Roman" w:hAnsi="Times New Roman"/>
          <w:sz w:val="24"/>
          <w:szCs w:val="24"/>
        </w:rPr>
        <w:t xml:space="preserve">Кроме того, по </w:t>
      </w:r>
      <w:r w:rsidRPr="00BD03F1">
        <w:rPr>
          <w:rFonts w:ascii="Times New Roman" w:hAnsi="Times New Roman"/>
          <w:sz w:val="24"/>
          <w:szCs w:val="24"/>
        </w:rPr>
        <w:t>данным учета ГКУ Амурской области «Строитель» по состоянию на 01.01.201</w:t>
      </w:r>
      <w:r>
        <w:rPr>
          <w:rFonts w:ascii="Times New Roman" w:hAnsi="Times New Roman"/>
          <w:sz w:val="24"/>
          <w:szCs w:val="24"/>
        </w:rPr>
        <w:t>7</w:t>
      </w:r>
      <w:r w:rsidRPr="00BD03F1">
        <w:rPr>
          <w:rFonts w:ascii="Times New Roman" w:hAnsi="Times New Roman"/>
          <w:sz w:val="24"/>
          <w:szCs w:val="24"/>
        </w:rPr>
        <w:t xml:space="preserve"> числятся незавершенные строительством объекты: с 2009 года - объект «Реконструкция инженерных сетей п.</w:t>
      </w:r>
      <w:r>
        <w:rPr>
          <w:rFonts w:ascii="Times New Roman" w:hAnsi="Times New Roman"/>
          <w:sz w:val="24"/>
          <w:szCs w:val="24"/>
        </w:rPr>
        <w:t xml:space="preserve"> </w:t>
      </w:r>
      <w:r w:rsidRPr="00BD03F1">
        <w:rPr>
          <w:rFonts w:ascii="Times New Roman" w:hAnsi="Times New Roman"/>
          <w:sz w:val="24"/>
          <w:szCs w:val="24"/>
        </w:rPr>
        <w:t xml:space="preserve">Новобурейский (2 очередь)»: объем затрат </w:t>
      </w:r>
      <w:r>
        <w:rPr>
          <w:rFonts w:ascii="Times New Roman" w:hAnsi="Times New Roman"/>
          <w:sz w:val="24"/>
          <w:szCs w:val="24"/>
        </w:rPr>
        <w:br/>
      </w:r>
      <w:r w:rsidRPr="00BD03F1">
        <w:rPr>
          <w:rFonts w:ascii="Times New Roman" w:hAnsi="Times New Roman"/>
          <w:sz w:val="24"/>
          <w:szCs w:val="24"/>
        </w:rPr>
        <w:t>13926,0 тыс. рублей, техническая готовность объекта – 34,6 процента</w:t>
      </w:r>
      <w:r>
        <w:rPr>
          <w:rFonts w:ascii="Times New Roman" w:hAnsi="Times New Roman"/>
          <w:sz w:val="24"/>
          <w:szCs w:val="24"/>
        </w:rPr>
        <w:t>;</w:t>
      </w:r>
      <w:r w:rsidRPr="00BD03F1">
        <w:rPr>
          <w:rFonts w:ascii="Times New Roman" w:hAnsi="Times New Roman"/>
          <w:sz w:val="24"/>
          <w:szCs w:val="24"/>
        </w:rPr>
        <w:t xml:space="preserve"> с 2010 года -</w:t>
      </w:r>
      <w:r>
        <w:rPr>
          <w:rFonts w:ascii="Times New Roman" w:hAnsi="Times New Roman"/>
          <w:sz w:val="24"/>
          <w:szCs w:val="24"/>
        </w:rPr>
        <w:t xml:space="preserve"> </w:t>
      </w:r>
      <w:r w:rsidRPr="00BD03F1">
        <w:rPr>
          <w:rFonts w:ascii="Times New Roman" w:hAnsi="Times New Roman"/>
          <w:sz w:val="24"/>
          <w:szCs w:val="24"/>
        </w:rPr>
        <w:t>объекты «Инженерная защита территорий п. Новобурейский»: объем затрат 132032,8 тыс. рублей, техническая готовность объекта – 51,4 процента; «</w:t>
      </w:r>
      <w:r>
        <w:rPr>
          <w:rFonts w:ascii="Times New Roman" w:hAnsi="Times New Roman"/>
          <w:sz w:val="24"/>
          <w:szCs w:val="24"/>
        </w:rPr>
        <w:t xml:space="preserve">Инженерная защита территорий </w:t>
      </w:r>
      <w:r>
        <w:rPr>
          <w:rFonts w:ascii="Times New Roman" w:hAnsi="Times New Roman"/>
          <w:sz w:val="24"/>
          <w:szCs w:val="24"/>
        </w:rPr>
        <w:br/>
        <w:t xml:space="preserve">с. </w:t>
      </w:r>
      <w:r w:rsidRPr="00BD03F1">
        <w:rPr>
          <w:rFonts w:ascii="Times New Roman" w:hAnsi="Times New Roman"/>
          <w:sz w:val="24"/>
          <w:szCs w:val="24"/>
        </w:rPr>
        <w:t xml:space="preserve">Малиновка»: объем затрат 19343,5 тыс. рублей, техническая готовность объекта – </w:t>
      </w:r>
      <w:r w:rsidRPr="00BD03F1">
        <w:rPr>
          <w:rFonts w:ascii="Times New Roman" w:hAnsi="Times New Roman"/>
          <w:sz w:val="24"/>
          <w:szCs w:val="24"/>
        </w:rPr>
        <w:br/>
        <w:t xml:space="preserve">41,4 процента. Финансирование строительства объектов осуществлялось за счет государственных капитальных вложений, выделенных на реализацию Федеральной адресной инвестиционной программы в рамках непрограммной части, федеральных целевых программ «Энергоэффективная экономика на 2002-2005 годы и на период до 2010 года», «Экономическое и социальное развитие Дальнего Востока и Забайкалья на период до </w:t>
      </w:r>
      <w:r w:rsidR="003277FE">
        <w:rPr>
          <w:rFonts w:ascii="Times New Roman" w:hAnsi="Times New Roman"/>
          <w:sz w:val="24"/>
          <w:szCs w:val="24"/>
        </w:rPr>
        <w:br/>
      </w:r>
      <w:r w:rsidRPr="00BD03F1">
        <w:rPr>
          <w:rFonts w:ascii="Times New Roman" w:hAnsi="Times New Roman"/>
          <w:sz w:val="24"/>
          <w:szCs w:val="24"/>
        </w:rPr>
        <w:t>2013 года». Государственными программами Амурской области мероприятия по завершению строительства объектов не предусмотрены.</w:t>
      </w:r>
    </w:p>
    <w:p w:rsidR="00B80503" w:rsidRDefault="00B80503" w:rsidP="00B80503">
      <w:pPr>
        <w:pStyle w:val="a4"/>
        <w:tabs>
          <w:tab w:val="left" w:pos="0"/>
        </w:tabs>
        <w:spacing w:after="0" w:line="240" w:lineRule="auto"/>
        <w:ind w:left="0" w:firstLine="709"/>
        <w:jc w:val="both"/>
        <w:rPr>
          <w:rFonts w:ascii="Times New Roman" w:hAnsi="Times New Roman"/>
          <w:sz w:val="24"/>
          <w:szCs w:val="24"/>
        </w:rPr>
      </w:pPr>
      <w:r w:rsidRPr="00BD03F1">
        <w:rPr>
          <w:rFonts w:ascii="Times New Roman" w:hAnsi="Times New Roman"/>
          <w:sz w:val="24"/>
          <w:szCs w:val="24"/>
        </w:rPr>
        <w:t>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 предусмотренного статьей 34 Бюджетного кодекса Российской Федерации, не позволяет обеспечить достижение заданных результатов и может привести к риску неэффективного расходования бюджетных средств, использованных на оплату работ по незавершенным строительством объектам.</w:t>
      </w:r>
    </w:p>
    <w:p w:rsidR="00B80503" w:rsidRPr="00C76199" w:rsidRDefault="00B80503" w:rsidP="00B80503">
      <w:pPr>
        <w:widowControl w:val="0"/>
        <w:tabs>
          <w:tab w:val="left" w:pos="540"/>
        </w:tabs>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Наличие значительных объемов незавершенного строительства, не обеспеченного финансированием, а также значительного количества невостребованной проектно-сметной документации свидетельствует о необходимости </w:t>
      </w:r>
      <w:r w:rsidRPr="00C76199">
        <w:rPr>
          <w:rFonts w:ascii="Times New Roman" w:hAnsi="Times New Roman"/>
          <w:sz w:val="24"/>
        </w:rPr>
        <w:t>повышени</w:t>
      </w:r>
      <w:r>
        <w:rPr>
          <w:rFonts w:ascii="Times New Roman" w:hAnsi="Times New Roman"/>
          <w:sz w:val="24"/>
        </w:rPr>
        <w:t>я</w:t>
      </w:r>
      <w:r w:rsidRPr="00C76199">
        <w:rPr>
          <w:rFonts w:ascii="Times New Roman" w:hAnsi="Times New Roman"/>
          <w:sz w:val="24"/>
        </w:rPr>
        <w:t xml:space="preserve"> качества планирования расходов по мероприятиям государственных программ, предусматривающи</w:t>
      </w:r>
      <w:r>
        <w:rPr>
          <w:rFonts w:ascii="Times New Roman" w:hAnsi="Times New Roman"/>
          <w:sz w:val="24"/>
        </w:rPr>
        <w:t xml:space="preserve">м </w:t>
      </w:r>
      <w:r w:rsidRPr="00C76199">
        <w:rPr>
          <w:rFonts w:ascii="Times New Roman" w:hAnsi="Times New Roman"/>
          <w:sz w:val="24"/>
        </w:rPr>
        <w:t xml:space="preserve">бюджетные инвестиции в объекты капитального строительства, в том числе </w:t>
      </w:r>
      <w:r w:rsidRPr="00C76199">
        <w:rPr>
          <w:rFonts w:ascii="Times New Roman" w:hAnsi="Times New Roman"/>
          <w:sz w:val="24"/>
          <w:szCs w:val="24"/>
        </w:rPr>
        <w:t>обязательно</w:t>
      </w:r>
      <w:r>
        <w:rPr>
          <w:rFonts w:ascii="Times New Roman" w:hAnsi="Times New Roman"/>
          <w:sz w:val="24"/>
          <w:szCs w:val="24"/>
        </w:rPr>
        <w:t>го рассмотрения наличия ресурсного обеспечения, реальных</w:t>
      </w:r>
      <w:r w:rsidRPr="00C76199">
        <w:rPr>
          <w:rFonts w:ascii="Times New Roman" w:hAnsi="Times New Roman"/>
          <w:sz w:val="24"/>
          <w:szCs w:val="24"/>
        </w:rPr>
        <w:t xml:space="preserve"> возможност</w:t>
      </w:r>
      <w:r>
        <w:rPr>
          <w:rFonts w:ascii="Times New Roman" w:hAnsi="Times New Roman"/>
          <w:sz w:val="24"/>
          <w:szCs w:val="24"/>
        </w:rPr>
        <w:t>ей и перспектив строительства.</w:t>
      </w:r>
    </w:p>
    <w:p w:rsidR="00B80503" w:rsidRDefault="00B80503" w:rsidP="00002DB5">
      <w:pPr>
        <w:spacing w:after="0" w:line="240" w:lineRule="auto"/>
        <w:ind w:firstLine="709"/>
        <w:jc w:val="both"/>
        <w:rPr>
          <w:rFonts w:ascii="Times New Roman" w:hAnsi="Times New Roman"/>
          <w:sz w:val="24"/>
          <w:szCs w:val="24"/>
        </w:rPr>
      </w:pPr>
    </w:p>
    <w:p w:rsidR="003277FE" w:rsidRPr="003277FE" w:rsidRDefault="003277FE" w:rsidP="003277FE">
      <w:pPr>
        <w:pStyle w:val="a4"/>
        <w:numPr>
          <w:ilvl w:val="0"/>
          <w:numId w:val="2"/>
        </w:numPr>
        <w:spacing w:after="0" w:line="240" w:lineRule="auto"/>
        <w:jc w:val="center"/>
        <w:outlineLvl w:val="0"/>
        <w:rPr>
          <w:rFonts w:ascii="Times New Roman" w:hAnsi="Times New Roman"/>
          <w:b/>
          <w:sz w:val="24"/>
          <w:szCs w:val="24"/>
        </w:rPr>
      </w:pPr>
      <w:r w:rsidRPr="003277FE">
        <w:rPr>
          <w:rFonts w:ascii="Times New Roman" w:hAnsi="Times New Roman"/>
          <w:b/>
          <w:sz w:val="24"/>
          <w:szCs w:val="24"/>
        </w:rPr>
        <w:t>Показатели, характеризующие состояние государственного внутреннего долга Амурской области на 201</w:t>
      </w:r>
      <w:r w:rsidR="00875B6A">
        <w:rPr>
          <w:rFonts w:ascii="Times New Roman" w:hAnsi="Times New Roman"/>
          <w:b/>
          <w:sz w:val="24"/>
          <w:szCs w:val="24"/>
        </w:rPr>
        <w:t>8</w:t>
      </w:r>
      <w:r w:rsidRPr="003277FE">
        <w:rPr>
          <w:rFonts w:ascii="Times New Roman" w:hAnsi="Times New Roman"/>
          <w:b/>
          <w:sz w:val="24"/>
          <w:szCs w:val="24"/>
        </w:rPr>
        <w:t xml:space="preserve"> год и плановый период 201</w:t>
      </w:r>
      <w:r w:rsidR="00875B6A">
        <w:rPr>
          <w:rFonts w:ascii="Times New Roman" w:hAnsi="Times New Roman"/>
          <w:b/>
          <w:sz w:val="24"/>
          <w:szCs w:val="24"/>
        </w:rPr>
        <w:t>9</w:t>
      </w:r>
      <w:r w:rsidRPr="003277FE">
        <w:rPr>
          <w:rFonts w:ascii="Times New Roman" w:hAnsi="Times New Roman"/>
          <w:b/>
          <w:sz w:val="24"/>
          <w:szCs w:val="24"/>
        </w:rPr>
        <w:t xml:space="preserve"> и 20</w:t>
      </w:r>
      <w:r w:rsidR="00875B6A">
        <w:rPr>
          <w:rFonts w:ascii="Times New Roman" w:hAnsi="Times New Roman"/>
          <w:b/>
          <w:sz w:val="24"/>
          <w:szCs w:val="24"/>
        </w:rPr>
        <w:t>20</w:t>
      </w:r>
      <w:r w:rsidRPr="003277FE">
        <w:rPr>
          <w:rFonts w:ascii="Times New Roman" w:hAnsi="Times New Roman"/>
          <w:b/>
          <w:sz w:val="24"/>
          <w:szCs w:val="24"/>
        </w:rPr>
        <w:t xml:space="preserve"> годов</w:t>
      </w:r>
    </w:p>
    <w:p w:rsidR="003277FE" w:rsidRPr="005547C2" w:rsidRDefault="003277FE" w:rsidP="003277FE">
      <w:pPr>
        <w:spacing w:after="0" w:line="240" w:lineRule="auto"/>
        <w:ind w:firstLine="709"/>
        <w:jc w:val="both"/>
        <w:rPr>
          <w:rFonts w:ascii="Times New Roman" w:hAnsi="Times New Roman"/>
          <w:sz w:val="24"/>
          <w:szCs w:val="24"/>
        </w:rPr>
      </w:pPr>
      <w:r w:rsidRPr="005547C2">
        <w:rPr>
          <w:rFonts w:ascii="Times New Roman" w:hAnsi="Times New Roman"/>
          <w:sz w:val="24"/>
          <w:szCs w:val="24"/>
        </w:rPr>
        <w:t xml:space="preserve">Основными направлениями налоговой, бюджетной и долговой политики области </w:t>
      </w:r>
      <w:r w:rsidRPr="005547C2">
        <w:rPr>
          <w:rFonts w:ascii="Times New Roman" w:hAnsi="Times New Roman"/>
          <w:sz w:val="24"/>
          <w:szCs w:val="24"/>
        </w:rPr>
        <w:br/>
        <w:t>на 2018 год и плановый период 201</w:t>
      </w:r>
      <w:r w:rsidR="00875B6A">
        <w:rPr>
          <w:rFonts w:ascii="Times New Roman" w:hAnsi="Times New Roman"/>
          <w:sz w:val="24"/>
          <w:szCs w:val="24"/>
        </w:rPr>
        <w:t>9</w:t>
      </w:r>
      <w:r w:rsidRPr="005547C2">
        <w:rPr>
          <w:rFonts w:ascii="Times New Roman" w:hAnsi="Times New Roman"/>
          <w:sz w:val="24"/>
          <w:szCs w:val="24"/>
        </w:rPr>
        <w:t xml:space="preserve"> и 20</w:t>
      </w:r>
      <w:r w:rsidR="00875B6A">
        <w:rPr>
          <w:rFonts w:ascii="Times New Roman" w:hAnsi="Times New Roman"/>
          <w:sz w:val="24"/>
          <w:szCs w:val="24"/>
        </w:rPr>
        <w:t>20</w:t>
      </w:r>
      <w:r w:rsidRPr="005547C2">
        <w:rPr>
          <w:rFonts w:ascii="Times New Roman" w:hAnsi="Times New Roman"/>
          <w:sz w:val="24"/>
          <w:szCs w:val="24"/>
        </w:rPr>
        <w:t xml:space="preserve"> годов, представленными с проектом областного бюджета, определено, что </w:t>
      </w:r>
      <w:r>
        <w:rPr>
          <w:rFonts w:ascii="Times New Roman" w:hAnsi="Times New Roman"/>
          <w:sz w:val="24"/>
          <w:szCs w:val="24"/>
        </w:rPr>
        <w:t>п</w:t>
      </w:r>
      <w:r w:rsidRPr="005547C2">
        <w:rPr>
          <w:rFonts w:ascii="Times New Roman" w:hAnsi="Times New Roman"/>
          <w:sz w:val="24"/>
          <w:szCs w:val="24"/>
        </w:rPr>
        <w:t xml:space="preserve">ервостепенной стратегической задачей Правительства Амурской области в 2018 году и плановом периоде 2019 и 2020 годов является проведение взвешенной долговой политики, поэтапное снижение соотношения государственного долга области к объему налоговых и неналоговых доходов областного бюджета и переход </w:t>
      </w:r>
      <w:r w:rsidR="00DD2064">
        <w:rPr>
          <w:rFonts w:ascii="Times New Roman" w:hAnsi="Times New Roman"/>
          <w:sz w:val="24"/>
          <w:szCs w:val="24"/>
        </w:rPr>
        <w:t>к безопасной долговой нагрузке.</w:t>
      </w:r>
    </w:p>
    <w:p w:rsidR="003277FE" w:rsidRPr="005547C2" w:rsidRDefault="003277FE" w:rsidP="003277FE">
      <w:pPr>
        <w:pStyle w:val="ConsPlusNormal"/>
        <w:ind w:firstLine="709"/>
        <w:jc w:val="both"/>
        <w:rPr>
          <w:rFonts w:eastAsia="Calibri"/>
        </w:rPr>
      </w:pPr>
      <w:r w:rsidRPr="005547C2">
        <w:rPr>
          <w:rFonts w:eastAsia="Calibri"/>
        </w:rPr>
        <w:t>Реализацию Долговой политики Амурской области в плановом периоде п</w:t>
      </w:r>
      <w:r>
        <w:rPr>
          <w:rFonts w:eastAsia="Calibri"/>
        </w:rPr>
        <w:t xml:space="preserve">редусмотрено </w:t>
      </w:r>
      <w:r w:rsidRPr="005547C2">
        <w:rPr>
          <w:rFonts w:eastAsia="Calibri"/>
        </w:rPr>
        <w:t>осуществлять</w:t>
      </w:r>
      <w:r w:rsidR="00875B6A">
        <w:rPr>
          <w:rFonts w:eastAsia="Calibri"/>
        </w:rPr>
        <w:t xml:space="preserve"> </w:t>
      </w:r>
      <w:r w:rsidRPr="005547C2">
        <w:rPr>
          <w:rFonts w:eastAsia="Calibri"/>
        </w:rPr>
        <w:t>в рамках решения ключевых задач по поддержанию умеренной долговой нагрузки</w:t>
      </w:r>
      <w:r>
        <w:rPr>
          <w:rFonts w:eastAsia="Calibri"/>
        </w:rPr>
        <w:t xml:space="preserve"> </w:t>
      </w:r>
      <w:r w:rsidRPr="005547C2">
        <w:rPr>
          <w:rFonts w:eastAsia="Calibri"/>
        </w:rPr>
        <w:t>и выполнени</w:t>
      </w:r>
      <w:r>
        <w:rPr>
          <w:rFonts w:eastAsia="Calibri"/>
        </w:rPr>
        <w:t>ю</w:t>
      </w:r>
      <w:r w:rsidRPr="005547C2">
        <w:rPr>
          <w:rFonts w:eastAsia="Calibri"/>
        </w:rPr>
        <w:t xml:space="preserve"> условий, установленных Постановлением Правительства Российской Федерации </w:t>
      </w:r>
      <w:r w:rsidRPr="005547C2">
        <w:t xml:space="preserve">от 26.12.2016 № 1482 «Об утверждении правил предоставления </w:t>
      </w:r>
      <w:r w:rsidRPr="005547C2">
        <w:lastRenderedPageBreak/>
        <w:t xml:space="preserve">(использования, возврата) из федерального бюджета бюджетам субъектов </w:t>
      </w:r>
      <w:r w:rsidRPr="005547C2">
        <w:rPr>
          <w:rFonts w:eastAsia="Calibri"/>
        </w:rPr>
        <w:t>Российской Федерации</w:t>
      </w:r>
      <w:r w:rsidRPr="005547C2">
        <w:t xml:space="preserve"> бюджетных кредитов на 2017 год»</w:t>
      </w:r>
      <w:r w:rsidRPr="005547C2">
        <w:rPr>
          <w:rFonts w:eastAsia="Calibri"/>
        </w:rPr>
        <w:t xml:space="preserve">, </w:t>
      </w:r>
      <w:r>
        <w:rPr>
          <w:rFonts w:eastAsia="Calibri"/>
        </w:rPr>
        <w:t>п</w:t>
      </w:r>
      <w:r w:rsidRPr="005547C2">
        <w:rPr>
          <w:rFonts w:eastAsia="Calibri"/>
        </w:rPr>
        <w:t>о поэтапном</w:t>
      </w:r>
      <w:r>
        <w:rPr>
          <w:rFonts w:eastAsia="Calibri"/>
        </w:rPr>
        <w:t>у</w:t>
      </w:r>
      <w:r w:rsidRPr="005547C2">
        <w:rPr>
          <w:rFonts w:eastAsia="Calibri"/>
        </w:rPr>
        <w:t xml:space="preserve"> сокращени</w:t>
      </w:r>
      <w:r>
        <w:rPr>
          <w:rFonts w:eastAsia="Calibri"/>
        </w:rPr>
        <w:t>ю</w:t>
      </w:r>
      <w:r w:rsidRPr="005547C2">
        <w:rPr>
          <w:rFonts w:eastAsia="Calibri"/>
        </w:rPr>
        <w:t xml:space="preserve"> доли общего объема долговых обязательств Амурской области по кредитам, полученным от кредитных организаций</w:t>
      </w:r>
      <w:r>
        <w:rPr>
          <w:rFonts w:eastAsia="Calibri"/>
        </w:rPr>
        <w:t>, и обеспечению неувеличения показателя соотношения объема государственного долга субъекта Российской Федерации к объему доходов без учета безвозмездных поступлений.</w:t>
      </w:r>
    </w:p>
    <w:p w:rsidR="003277FE" w:rsidRPr="00D173DB" w:rsidRDefault="003277FE" w:rsidP="003277FE">
      <w:pPr>
        <w:spacing w:after="0" w:line="240" w:lineRule="auto"/>
        <w:ind w:firstLine="709"/>
        <w:jc w:val="both"/>
        <w:rPr>
          <w:rFonts w:ascii="Times New Roman" w:eastAsiaTheme="minorHAnsi" w:hAnsi="Times New Roman"/>
          <w:sz w:val="24"/>
          <w:szCs w:val="24"/>
          <w:lang w:eastAsia="en-US"/>
        </w:rPr>
      </w:pPr>
      <w:r w:rsidRPr="005B525B">
        <w:rPr>
          <w:rFonts w:ascii="Times New Roman" w:hAnsi="Times New Roman"/>
          <w:sz w:val="24"/>
          <w:szCs w:val="24"/>
        </w:rPr>
        <w:t>В соответствии с Долговой политикой Амурской области на 201</w:t>
      </w:r>
      <w:r>
        <w:rPr>
          <w:rFonts w:ascii="Times New Roman" w:hAnsi="Times New Roman"/>
          <w:sz w:val="24"/>
          <w:szCs w:val="24"/>
        </w:rPr>
        <w:t>8</w:t>
      </w:r>
      <w:r w:rsidRPr="005B525B">
        <w:rPr>
          <w:rFonts w:ascii="Times New Roman" w:hAnsi="Times New Roman"/>
          <w:sz w:val="24"/>
          <w:szCs w:val="24"/>
        </w:rPr>
        <w:t xml:space="preserve"> год и плановый период 201</w:t>
      </w:r>
      <w:r>
        <w:rPr>
          <w:rFonts w:ascii="Times New Roman" w:hAnsi="Times New Roman"/>
          <w:sz w:val="24"/>
          <w:szCs w:val="24"/>
        </w:rPr>
        <w:t>9-2020</w:t>
      </w:r>
      <w:r w:rsidRPr="005B525B">
        <w:rPr>
          <w:rFonts w:ascii="Times New Roman" w:hAnsi="Times New Roman"/>
          <w:sz w:val="24"/>
          <w:szCs w:val="24"/>
        </w:rPr>
        <w:t xml:space="preserve"> годов, утвержденной Распоряжением Пра</w:t>
      </w:r>
      <w:r>
        <w:rPr>
          <w:rFonts w:ascii="Times New Roman" w:hAnsi="Times New Roman"/>
          <w:sz w:val="24"/>
          <w:szCs w:val="24"/>
        </w:rPr>
        <w:t>вительства Амурской области от 11</w:t>
      </w:r>
      <w:r w:rsidRPr="005B525B">
        <w:rPr>
          <w:rFonts w:ascii="Times New Roman" w:hAnsi="Times New Roman"/>
          <w:sz w:val="24"/>
          <w:szCs w:val="24"/>
        </w:rPr>
        <w:t>.</w:t>
      </w:r>
      <w:r>
        <w:rPr>
          <w:rFonts w:ascii="Times New Roman" w:hAnsi="Times New Roman"/>
          <w:sz w:val="24"/>
          <w:szCs w:val="24"/>
        </w:rPr>
        <w:t>1</w:t>
      </w:r>
      <w:r w:rsidRPr="005B525B">
        <w:rPr>
          <w:rFonts w:ascii="Times New Roman" w:hAnsi="Times New Roman"/>
          <w:sz w:val="24"/>
          <w:szCs w:val="24"/>
        </w:rPr>
        <w:t>0.201</w:t>
      </w:r>
      <w:r>
        <w:rPr>
          <w:rFonts w:ascii="Times New Roman" w:hAnsi="Times New Roman"/>
          <w:sz w:val="24"/>
          <w:szCs w:val="24"/>
        </w:rPr>
        <w:t>7</w:t>
      </w:r>
      <w:r w:rsidRPr="005B525B">
        <w:rPr>
          <w:rFonts w:ascii="Times New Roman" w:hAnsi="Times New Roman"/>
          <w:sz w:val="24"/>
          <w:szCs w:val="24"/>
        </w:rPr>
        <w:t xml:space="preserve"> № </w:t>
      </w:r>
      <w:r>
        <w:rPr>
          <w:rFonts w:ascii="Times New Roman" w:hAnsi="Times New Roman"/>
          <w:sz w:val="24"/>
          <w:szCs w:val="24"/>
        </w:rPr>
        <w:t>122</w:t>
      </w:r>
      <w:r w:rsidRPr="005B525B">
        <w:rPr>
          <w:rFonts w:ascii="Times New Roman" w:hAnsi="Times New Roman"/>
          <w:sz w:val="24"/>
          <w:szCs w:val="24"/>
        </w:rPr>
        <w:t xml:space="preserve">-р (далее – Долговая политика), </w:t>
      </w:r>
      <w:r>
        <w:rPr>
          <w:rFonts w:ascii="Times New Roman" w:hAnsi="Times New Roman"/>
          <w:sz w:val="24"/>
          <w:szCs w:val="24"/>
        </w:rPr>
        <w:t>р</w:t>
      </w:r>
      <w:r>
        <w:rPr>
          <w:rFonts w:ascii="Times New Roman" w:hAnsi="Times New Roman"/>
          <w:sz w:val="24"/>
        </w:rPr>
        <w:t xml:space="preserve">еализацию Долговой политики предусмотрено осуществлять в рамках решения ключевых задач по поддержанию умеренной долговой нагрузки и снижению расходов на обслуживание государственного долга, соблюдению установленных </w:t>
      </w:r>
      <w:r w:rsidRPr="00D173DB">
        <w:rPr>
          <w:rFonts w:ascii="Times New Roman" w:hAnsi="Times New Roman"/>
          <w:sz w:val="24"/>
          <w:szCs w:val="24"/>
        </w:rPr>
        <w:t xml:space="preserve">показателей и индикаторов, в числе которых </w:t>
      </w:r>
      <w:r w:rsidRPr="00D173DB">
        <w:rPr>
          <w:rFonts w:ascii="Times New Roman" w:eastAsiaTheme="minorHAnsi" w:hAnsi="Times New Roman"/>
          <w:sz w:val="24"/>
          <w:szCs w:val="24"/>
          <w:lang w:eastAsia="en-US"/>
        </w:rPr>
        <w:t>обеспечение поэтапного сокращения доли общего объема долговых обязательств Амурской области, в том числе по долговым обязательствам по кредитам, полученным от кредитных организаций:</w:t>
      </w:r>
    </w:p>
    <w:p w:rsidR="003277FE" w:rsidRPr="00D173DB" w:rsidRDefault="003277FE" w:rsidP="003277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173DB">
        <w:rPr>
          <w:rFonts w:ascii="Times New Roman" w:eastAsiaTheme="minorHAnsi" w:hAnsi="Times New Roman"/>
          <w:sz w:val="24"/>
          <w:szCs w:val="24"/>
          <w:lang w:eastAsia="en-US"/>
        </w:rPr>
        <w:t xml:space="preserve">- к 1 января 2019 года доля общего объема долговых обязательств </w:t>
      </w:r>
      <w:r>
        <w:rPr>
          <w:rFonts w:ascii="Times New Roman" w:eastAsiaTheme="minorHAnsi" w:hAnsi="Times New Roman"/>
          <w:sz w:val="24"/>
          <w:szCs w:val="24"/>
          <w:lang w:eastAsia="en-US"/>
        </w:rPr>
        <w:t xml:space="preserve">должна </w:t>
      </w:r>
      <w:r w:rsidRPr="00D173DB">
        <w:rPr>
          <w:rFonts w:ascii="Times New Roman" w:eastAsiaTheme="minorHAnsi" w:hAnsi="Times New Roman"/>
          <w:sz w:val="24"/>
          <w:szCs w:val="24"/>
          <w:lang w:eastAsia="en-US"/>
        </w:rPr>
        <w:t>составит</w:t>
      </w:r>
      <w:r>
        <w:rPr>
          <w:rFonts w:ascii="Times New Roman" w:eastAsiaTheme="minorHAnsi" w:hAnsi="Times New Roman"/>
          <w:sz w:val="24"/>
          <w:szCs w:val="24"/>
          <w:lang w:eastAsia="en-US"/>
        </w:rPr>
        <w:t>ь</w:t>
      </w:r>
      <w:r w:rsidRPr="00D173DB">
        <w:rPr>
          <w:rFonts w:ascii="Times New Roman" w:eastAsiaTheme="minorHAnsi" w:hAnsi="Times New Roman"/>
          <w:sz w:val="24"/>
          <w:szCs w:val="24"/>
          <w:lang w:eastAsia="en-US"/>
        </w:rPr>
        <w:t xml:space="preserve"> 60 процентов от суммы налоговых и неналоговых доходов, в том числе доля долговых обязательств по кредитам банков - не более 28 процентов суммы доходов областного бюджета без учета безвозмездных поступлений за 2018 год;</w:t>
      </w:r>
    </w:p>
    <w:p w:rsidR="003277FE" w:rsidRPr="00D173DB" w:rsidRDefault="003277FE" w:rsidP="003277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173DB">
        <w:rPr>
          <w:rFonts w:ascii="Times New Roman" w:eastAsiaTheme="minorHAnsi" w:hAnsi="Times New Roman"/>
          <w:sz w:val="24"/>
          <w:szCs w:val="24"/>
          <w:lang w:eastAsia="en-US"/>
        </w:rPr>
        <w:t xml:space="preserve">- к 1 января 2020 года доля общего объема долговых обязательств </w:t>
      </w:r>
      <w:r>
        <w:rPr>
          <w:rFonts w:ascii="Times New Roman" w:eastAsiaTheme="minorHAnsi" w:hAnsi="Times New Roman"/>
          <w:sz w:val="24"/>
          <w:szCs w:val="24"/>
          <w:lang w:eastAsia="en-US"/>
        </w:rPr>
        <w:t xml:space="preserve">должна </w:t>
      </w:r>
      <w:r w:rsidRPr="00D173DB">
        <w:rPr>
          <w:rFonts w:ascii="Times New Roman" w:eastAsiaTheme="minorHAnsi" w:hAnsi="Times New Roman"/>
          <w:sz w:val="24"/>
          <w:szCs w:val="24"/>
          <w:lang w:eastAsia="en-US"/>
        </w:rPr>
        <w:t>составит</w:t>
      </w:r>
      <w:r>
        <w:rPr>
          <w:rFonts w:ascii="Times New Roman" w:eastAsiaTheme="minorHAnsi" w:hAnsi="Times New Roman"/>
          <w:sz w:val="24"/>
          <w:szCs w:val="24"/>
          <w:lang w:eastAsia="en-US"/>
        </w:rPr>
        <w:t>ь</w:t>
      </w:r>
      <w:r w:rsidRPr="00D173DB">
        <w:rPr>
          <w:rFonts w:ascii="Times New Roman" w:eastAsiaTheme="minorHAnsi" w:hAnsi="Times New Roman"/>
          <w:sz w:val="24"/>
          <w:szCs w:val="24"/>
          <w:lang w:eastAsia="en-US"/>
        </w:rPr>
        <w:t xml:space="preserve"> 52 процента от суммы налоговых и неналоговых доходов, в том числе доля долговых обязательств по кредитам банков - не более 39 процентов суммы доходов областного бюджета без учета безвозмездных поступлений за 2019 год;</w:t>
      </w:r>
    </w:p>
    <w:p w:rsidR="003277FE" w:rsidRDefault="003277FE" w:rsidP="003277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173DB">
        <w:rPr>
          <w:rFonts w:ascii="Times New Roman" w:eastAsiaTheme="minorHAnsi" w:hAnsi="Times New Roman"/>
          <w:sz w:val="24"/>
          <w:szCs w:val="24"/>
          <w:lang w:eastAsia="en-US"/>
        </w:rPr>
        <w:t xml:space="preserve">- к 1 января 2021 года доля общего объема долговых обязательств </w:t>
      </w:r>
      <w:r>
        <w:rPr>
          <w:rFonts w:ascii="Times New Roman" w:eastAsiaTheme="minorHAnsi" w:hAnsi="Times New Roman"/>
          <w:sz w:val="24"/>
          <w:szCs w:val="24"/>
          <w:lang w:eastAsia="en-US"/>
        </w:rPr>
        <w:t xml:space="preserve">должна </w:t>
      </w:r>
      <w:r w:rsidRPr="00D173DB">
        <w:rPr>
          <w:rFonts w:ascii="Times New Roman" w:eastAsiaTheme="minorHAnsi" w:hAnsi="Times New Roman"/>
          <w:sz w:val="24"/>
          <w:szCs w:val="24"/>
          <w:lang w:eastAsia="en-US"/>
        </w:rPr>
        <w:t>составит</w:t>
      </w:r>
      <w:r>
        <w:rPr>
          <w:rFonts w:ascii="Times New Roman" w:eastAsiaTheme="minorHAnsi" w:hAnsi="Times New Roman"/>
          <w:sz w:val="24"/>
          <w:szCs w:val="24"/>
          <w:lang w:eastAsia="en-US"/>
        </w:rPr>
        <w:t>ь</w:t>
      </w:r>
      <w:r w:rsidRPr="00D173DB">
        <w:rPr>
          <w:rFonts w:ascii="Times New Roman" w:eastAsiaTheme="minorHAnsi" w:hAnsi="Times New Roman"/>
          <w:sz w:val="24"/>
          <w:szCs w:val="24"/>
          <w:lang w:eastAsia="en-US"/>
        </w:rPr>
        <w:t xml:space="preserve"> 41 процент от суммы налоговых и неналоговых доходов, в том числе доля долговых обязательств по кредитам банков - не более 29 процентов суммы доходов областного бюджета без учета безвозмездных поступлений за 2020 год</w:t>
      </w:r>
      <w:r>
        <w:rPr>
          <w:rFonts w:ascii="Times New Roman" w:eastAsiaTheme="minorHAnsi" w:hAnsi="Times New Roman"/>
          <w:sz w:val="24"/>
          <w:szCs w:val="24"/>
          <w:lang w:eastAsia="en-US"/>
        </w:rPr>
        <w:t>.</w:t>
      </w:r>
    </w:p>
    <w:p w:rsidR="003277FE" w:rsidRPr="00D173DB" w:rsidRDefault="003277FE" w:rsidP="003277FE">
      <w:pPr>
        <w:spacing w:after="0" w:line="240" w:lineRule="auto"/>
        <w:ind w:firstLine="708"/>
        <w:jc w:val="both"/>
        <w:outlineLvl w:val="0"/>
        <w:rPr>
          <w:rFonts w:ascii="Times New Roman" w:eastAsiaTheme="minorHAnsi" w:hAnsi="Times New Roman"/>
          <w:sz w:val="24"/>
          <w:szCs w:val="24"/>
          <w:lang w:eastAsia="en-US"/>
        </w:rPr>
      </w:pPr>
      <w:r w:rsidRPr="00605FED">
        <w:rPr>
          <w:rFonts w:ascii="Times New Roman" w:eastAsiaTheme="minorHAnsi" w:hAnsi="Times New Roman"/>
          <w:sz w:val="24"/>
          <w:szCs w:val="24"/>
          <w:lang w:eastAsia="en-US"/>
        </w:rPr>
        <w:t>Анализом</w:t>
      </w:r>
      <w:r>
        <w:rPr>
          <w:rFonts w:ascii="Times New Roman" w:hAnsi="Times New Roman"/>
          <w:sz w:val="24"/>
          <w:szCs w:val="24"/>
        </w:rPr>
        <w:t>, п</w:t>
      </w:r>
      <w:r w:rsidRPr="00605FED">
        <w:rPr>
          <w:rFonts w:ascii="Times New Roman" w:eastAsiaTheme="minorHAnsi" w:hAnsi="Times New Roman"/>
          <w:sz w:val="24"/>
          <w:szCs w:val="24"/>
          <w:lang w:eastAsia="en-US"/>
        </w:rPr>
        <w:t>роведенным в</w:t>
      </w:r>
      <w:r>
        <w:rPr>
          <w:rFonts w:ascii="Times New Roman" w:eastAsiaTheme="minorHAnsi" w:hAnsi="Times New Roman"/>
          <w:sz w:val="24"/>
          <w:szCs w:val="24"/>
          <w:lang w:eastAsia="en-US"/>
        </w:rPr>
        <w:t xml:space="preserve"> период экспертизы законопроекта, установлено, что</w:t>
      </w:r>
      <w:r w:rsidRPr="00605FED">
        <w:rPr>
          <w:rFonts w:ascii="Times New Roman" w:eastAsiaTheme="minorHAnsi" w:hAnsi="Times New Roman"/>
          <w:sz w:val="24"/>
          <w:szCs w:val="24"/>
          <w:lang w:eastAsia="en-US"/>
        </w:rPr>
        <w:t xml:space="preserve"> показател</w:t>
      </w:r>
      <w:r>
        <w:rPr>
          <w:rFonts w:ascii="Times New Roman" w:eastAsiaTheme="minorHAnsi" w:hAnsi="Times New Roman"/>
          <w:sz w:val="24"/>
          <w:szCs w:val="24"/>
          <w:lang w:eastAsia="en-US"/>
        </w:rPr>
        <w:t>и</w:t>
      </w:r>
      <w:r w:rsidRPr="00605FED">
        <w:rPr>
          <w:rFonts w:ascii="Times New Roman" w:eastAsiaTheme="minorHAnsi" w:hAnsi="Times New Roman"/>
          <w:sz w:val="24"/>
          <w:szCs w:val="24"/>
          <w:lang w:eastAsia="en-US"/>
        </w:rPr>
        <w:t>, характеризующи</w:t>
      </w:r>
      <w:r w:rsidR="00875B6A">
        <w:rPr>
          <w:rFonts w:ascii="Times New Roman" w:eastAsiaTheme="minorHAnsi" w:hAnsi="Times New Roman"/>
          <w:sz w:val="24"/>
          <w:szCs w:val="24"/>
          <w:lang w:eastAsia="en-US"/>
        </w:rPr>
        <w:t>е</w:t>
      </w:r>
      <w:r w:rsidRPr="00605FED">
        <w:rPr>
          <w:rFonts w:ascii="Times New Roman" w:eastAsiaTheme="minorHAnsi" w:hAnsi="Times New Roman"/>
          <w:sz w:val="24"/>
          <w:szCs w:val="24"/>
          <w:lang w:eastAsia="en-US"/>
        </w:rPr>
        <w:t xml:space="preserve"> </w:t>
      </w:r>
      <w:r w:rsidRPr="00605FED">
        <w:rPr>
          <w:rFonts w:ascii="Times New Roman" w:hAnsi="Times New Roman"/>
          <w:sz w:val="24"/>
          <w:szCs w:val="24"/>
        </w:rPr>
        <w:t>состояние государственного внутреннего долга Амурской области на 201</w:t>
      </w:r>
      <w:r w:rsidR="00875B6A">
        <w:rPr>
          <w:rFonts w:ascii="Times New Roman" w:hAnsi="Times New Roman"/>
          <w:sz w:val="24"/>
          <w:szCs w:val="24"/>
        </w:rPr>
        <w:t>8</w:t>
      </w:r>
      <w:r w:rsidRPr="00605FED">
        <w:rPr>
          <w:rFonts w:ascii="Times New Roman" w:hAnsi="Times New Roman"/>
          <w:sz w:val="24"/>
          <w:szCs w:val="24"/>
        </w:rPr>
        <w:t xml:space="preserve"> год и плановый период 201</w:t>
      </w:r>
      <w:r w:rsidR="00875B6A">
        <w:rPr>
          <w:rFonts w:ascii="Times New Roman" w:hAnsi="Times New Roman"/>
          <w:sz w:val="24"/>
          <w:szCs w:val="24"/>
        </w:rPr>
        <w:t>9</w:t>
      </w:r>
      <w:r w:rsidRPr="00605FED">
        <w:rPr>
          <w:rFonts w:ascii="Times New Roman" w:hAnsi="Times New Roman"/>
          <w:sz w:val="24"/>
          <w:szCs w:val="24"/>
        </w:rPr>
        <w:t xml:space="preserve"> и 20</w:t>
      </w:r>
      <w:r w:rsidR="00875B6A">
        <w:rPr>
          <w:rFonts w:ascii="Times New Roman" w:hAnsi="Times New Roman"/>
          <w:sz w:val="24"/>
          <w:szCs w:val="24"/>
        </w:rPr>
        <w:t>20</w:t>
      </w:r>
      <w:r w:rsidRPr="00605FED">
        <w:rPr>
          <w:rFonts w:ascii="Times New Roman" w:hAnsi="Times New Roman"/>
          <w:sz w:val="24"/>
          <w:szCs w:val="24"/>
        </w:rPr>
        <w:t xml:space="preserve"> годов</w:t>
      </w:r>
      <w:r>
        <w:rPr>
          <w:rFonts w:ascii="Times New Roman" w:hAnsi="Times New Roman"/>
          <w:sz w:val="24"/>
          <w:szCs w:val="24"/>
        </w:rPr>
        <w:t>, соответствуют показателям,</w:t>
      </w:r>
      <w:r>
        <w:rPr>
          <w:rFonts w:ascii="Times New Roman" w:eastAsiaTheme="minorHAnsi" w:hAnsi="Times New Roman"/>
          <w:sz w:val="24"/>
          <w:szCs w:val="24"/>
          <w:lang w:eastAsia="en-US"/>
        </w:rPr>
        <w:t xml:space="preserve"> предусмотренным </w:t>
      </w:r>
      <w:r w:rsidRPr="005B525B">
        <w:rPr>
          <w:rFonts w:ascii="Times New Roman" w:hAnsi="Times New Roman"/>
          <w:sz w:val="24"/>
          <w:szCs w:val="24"/>
        </w:rPr>
        <w:t>Долговой политикой Амурской области на 201</w:t>
      </w:r>
      <w:r>
        <w:rPr>
          <w:rFonts w:ascii="Times New Roman" w:hAnsi="Times New Roman"/>
          <w:sz w:val="24"/>
          <w:szCs w:val="24"/>
        </w:rPr>
        <w:t>8</w:t>
      </w:r>
      <w:r w:rsidRPr="005B525B">
        <w:rPr>
          <w:rFonts w:ascii="Times New Roman" w:hAnsi="Times New Roman"/>
          <w:sz w:val="24"/>
          <w:szCs w:val="24"/>
        </w:rPr>
        <w:t xml:space="preserve"> год и плановый период 201</w:t>
      </w:r>
      <w:r>
        <w:rPr>
          <w:rFonts w:ascii="Times New Roman" w:hAnsi="Times New Roman"/>
          <w:sz w:val="24"/>
          <w:szCs w:val="24"/>
        </w:rPr>
        <w:t>9-2020</w:t>
      </w:r>
      <w:r w:rsidRPr="005B525B">
        <w:rPr>
          <w:rFonts w:ascii="Times New Roman" w:hAnsi="Times New Roman"/>
          <w:sz w:val="24"/>
          <w:szCs w:val="24"/>
        </w:rPr>
        <w:t xml:space="preserve"> годов</w:t>
      </w:r>
      <w:r>
        <w:rPr>
          <w:rFonts w:ascii="Times New Roman" w:hAnsi="Times New Roman"/>
          <w:sz w:val="24"/>
          <w:szCs w:val="24"/>
        </w:rPr>
        <w:t>.</w:t>
      </w:r>
    </w:p>
    <w:p w:rsidR="003277FE" w:rsidRPr="005B525B" w:rsidRDefault="003277FE" w:rsidP="003277FE">
      <w:pPr>
        <w:widowControl w:val="0"/>
        <w:autoSpaceDE w:val="0"/>
        <w:autoSpaceDN w:val="0"/>
        <w:adjustRightInd w:val="0"/>
        <w:spacing w:after="0" w:line="240" w:lineRule="auto"/>
        <w:ind w:firstLine="709"/>
        <w:jc w:val="both"/>
        <w:rPr>
          <w:rFonts w:ascii="Times New Roman" w:hAnsi="Times New Roman"/>
          <w:sz w:val="24"/>
          <w:szCs w:val="24"/>
        </w:rPr>
      </w:pPr>
      <w:r w:rsidRPr="005B525B">
        <w:rPr>
          <w:rFonts w:ascii="Times New Roman" w:hAnsi="Times New Roman"/>
          <w:sz w:val="24"/>
          <w:szCs w:val="24"/>
        </w:rPr>
        <w:t xml:space="preserve">В представленном </w:t>
      </w:r>
      <w:r>
        <w:rPr>
          <w:rFonts w:ascii="Times New Roman" w:hAnsi="Times New Roman"/>
          <w:sz w:val="24"/>
          <w:szCs w:val="24"/>
        </w:rPr>
        <w:t xml:space="preserve">для рассмотрения в первом чтении </w:t>
      </w:r>
      <w:r w:rsidRPr="005B525B">
        <w:rPr>
          <w:rFonts w:ascii="Times New Roman" w:hAnsi="Times New Roman"/>
          <w:sz w:val="24"/>
          <w:szCs w:val="24"/>
        </w:rPr>
        <w:t>законопроекте об областном бюджете на 201</w:t>
      </w:r>
      <w:r>
        <w:rPr>
          <w:rFonts w:ascii="Times New Roman" w:hAnsi="Times New Roman"/>
          <w:sz w:val="24"/>
          <w:szCs w:val="24"/>
        </w:rPr>
        <w:t>8</w:t>
      </w:r>
      <w:r w:rsidRPr="005B525B">
        <w:rPr>
          <w:rFonts w:ascii="Times New Roman" w:hAnsi="Times New Roman"/>
          <w:sz w:val="24"/>
          <w:szCs w:val="24"/>
        </w:rPr>
        <w:t xml:space="preserve"> год и плановый период 201</w:t>
      </w:r>
      <w:r>
        <w:rPr>
          <w:rFonts w:ascii="Times New Roman" w:hAnsi="Times New Roman"/>
          <w:sz w:val="24"/>
          <w:szCs w:val="24"/>
        </w:rPr>
        <w:t>9</w:t>
      </w:r>
      <w:r w:rsidRPr="005B525B">
        <w:rPr>
          <w:rFonts w:ascii="Times New Roman" w:hAnsi="Times New Roman"/>
          <w:sz w:val="24"/>
          <w:szCs w:val="24"/>
        </w:rPr>
        <w:t xml:space="preserve"> и 20</w:t>
      </w:r>
      <w:r>
        <w:rPr>
          <w:rFonts w:ascii="Times New Roman" w:hAnsi="Times New Roman"/>
          <w:sz w:val="24"/>
          <w:szCs w:val="24"/>
        </w:rPr>
        <w:t>20</w:t>
      </w:r>
      <w:r w:rsidRPr="005B525B">
        <w:rPr>
          <w:rFonts w:ascii="Times New Roman" w:hAnsi="Times New Roman"/>
          <w:sz w:val="24"/>
          <w:szCs w:val="24"/>
        </w:rPr>
        <w:t xml:space="preserve"> годов осуществление государственных заимствований запланировано производить с учетом верхнего предела государственного внутреннего долга области, составляющего в 201</w:t>
      </w:r>
      <w:r>
        <w:rPr>
          <w:rFonts w:ascii="Times New Roman" w:hAnsi="Times New Roman"/>
          <w:sz w:val="24"/>
          <w:szCs w:val="24"/>
        </w:rPr>
        <w:t>8</w:t>
      </w:r>
      <w:r w:rsidRPr="005B525B">
        <w:rPr>
          <w:rFonts w:ascii="Times New Roman" w:hAnsi="Times New Roman"/>
          <w:sz w:val="24"/>
          <w:szCs w:val="24"/>
        </w:rPr>
        <w:t xml:space="preserve"> году 2</w:t>
      </w:r>
      <w:r>
        <w:rPr>
          <w:rFonts w:ascii="Times New Roman" w:hAnsi="Times New Roman"/>
          <w:sz w:val="24"/>
          <w:szCs w:val="24"/>
        </w:rPr>
        <w:t>2178796,7</w:t>
      </w:r>
      <w:r w:rsidRPr="005B525B">
        <w:rPr>
          <w:rFonts w:ascii="Times New Roman" w:hAnsi="Times New Roman"/>
          <w:sz w:val="24"/>
          <w:szCs w:val="24"/>
        </w:rPr>
        <w:t xml:space="preserve"> тыс. рублей, в 201</w:t>
      </w:r>
      <w:r>
        <w:rPr>
          <w:rFonts w:ascii="Times New Roman" w:hAnsi="Times New Roman"/>
          <w:sz w:val="24"/>
          <w:szCs w:val="24"/>
        </w:rPr>
        <w:t>9</w:t>
      </w:r>
      <w:r w:rsidRPr="005B525B">
        <w:rPr>
          <w:rFonts w:ascii="Times New Roman" w:hAnsi="Times New Roman"/>
          <w:sz w:val="24"/>
          <w:szCs w:val="24"/>
        </w:rPr>
        <w:t xml:space="preserve"> году – 2</w:t>
      </w:r>
      <w:r>
        <w:rPr>
          <w:rFonts w:ascii="Times New Roman" w:hAnsi="Times New Roman"/>
          <w:sz w:val="24"/>
          <w:szCs w:val="24"/>
        </w:rPr>
        <w:t>0246442</w:t>
      </w:r>
      <w:r w:rsidRPr="005B525B">
        <w:rPr>
          <w:rFonts w:ascii="Times New Roman" w:hAnsi="Times New Roman"/>
          <w:sz w:val="24"/>
          <w:szCs w:val="24"/>
        </w:rPr>
        <w:t>,</w:t>
      </w:r>
      <w:r>
        <w:rPr>
          <w:rFonts w:ascii="Times New Roman" w:hAnsi="Times New Roman"/>
          <w:sz w:val="24"/>
          <w:szCs w:val="24"/>
        </w:rPr>
        <w:t>9</w:t>
      </w:r>
      <w:r w:rsidRPr="005B525B">
        <w:rPr>
          <w:rFonts w:ascii="Times New Roman" w:hAnsi="Times New Roman"/>
          <w:sz w:val="24"/>
          <w:szCs w:val="24"/>
        </w:rPr>
        <w:t xml:space="preserve"> тыс. рублей, в 20</w:t>
      </w:r>
      <w:r>
        <w:rPr>
          <w:rFonts w:ascii="Times New Roman" w:hAnsi="Times New Roman"/>
          <w:sz w:val="24"/>
          <w:szCs w:val="24"/>
        </w:rPr>
        <w:t>20</w:t>
      </w:r>
      <w:r w:rsidRPr="005B525B">
        <w:rPr>
          <w:rFonts w:ascii="Times New Roman" w:hAnsi="Times New Roman"/>
          <w:sz w:val="24"/>
          <w:szCs w:val="24"/>
        </w:rPr>
        <w:t xml:space="preserve"> году – </w:t>
      </w:r>
      <w:r>
        <w:rPr>
          <w:rFonts w:ascii="Times New Roman" w:hAnsi="Times New Roman"/>
          <w:sz w:val="24"/>
          <w:szCs w:val="24"/>
        </w:rPr>
        <w:t>16823719</w:t>
      </w:r>
      <w:r w:rsidRPr="005B525B">
        <w:rPr>
          <w:rFonts w:ascii="Times New Roman" w:hAnsi="Times New Roman"/>
          <w:sz w:val="24"/>
          <w:szCs w:val="24"/>
        </w:rPr>
        <w:t xml:space="preserve">,3 тыс. рублей. На </w:t>
      </w:r>
      <w:r w:rsidRPr="003277FE">
        <w:rPr>
          <w:rFonts w:ascii="Times New Roman" w:hAnsi="Times New Roman"/>
          <w:sz w:val="24"/>
          <w:szCs w:val="24"/>
        </w:rPr>
        <w:t>рисунке 16</w:t>
      </w:r>
      <w:r w:rsidRPr="00D173DB">
        <w:rPr>
          <w:rFonts w:ascii="Times New Roman" w:hAnsi="Times New Roman"/>
          <w:color w:val="FF0000"/>
          <w:sz w:val="24"/>
          <w:szCs w:val="24"/>
        </w:rPr>
        <w:t xml:space="preserve"> </w:t>
      </w:r>
      <w:r w:rsidRPr="005B525B">
        <w:rPr>
          <w:rFonts w:ascii="Times New Roman" w:hAnsi="Times New Roman"/>
          <w:sz w:val="24"/>
          <w:szCs w:val="24"/>
        </w:rPr>
        <w:t>отражены объемы верхнего предела государственного долга области в динамике с 201</w:t>
      </w:r>
      <w:r>
        <w:rPr>
          <w:rFonts w:ascii="Times New Roman" w:hAnsi="Times New Roman"/>
          <w:sz w:val="24"/>
          <w:szCs w:val="24"/>
        </w:rPr>
        <w:t>7</w:t>
      </w:r>
      <w:r w:rsidRPr="005B525B">
        <w:rPr>
          <w:rFonts w:ascii="Times New Roman" w:hAnsi="Times New Roman"/>
          <w:sz w:val="24"/>
          <w:szCs w:val="24"/>
        </w:rPr>
        <w:t xml:space="preserve"> по 20</w:t>
      </w:r>
      <w:r>
        <w:rPr>
          <w:rFonts w:ascii="Times New Roman" w:hAnsi="Times New Roman"/>
          <w:sz w:val="24"/>
          <w:szCs w:val="24"/>
        </w:rPr>
        <w:t>20</w:t>
      </w:r>
      <w:r w:rsidRPr="005B525B">
        <w:rPr>
          <w:rFonts w:ascii="Times New Roman" w:hAnsi="Times New Roman"/>
          <w:sz w:val="24"/>
          <w:szCs w:val="24"/>
        </w:rPr>
        <w:t xml:space="preserve"> годы.</w:t>
      </w:r>
    </w:p>
    <w:p w:rsidR="003277FE" w:rsidRPr="005B525B" w:rsidRDefault="003277FE" w:rsidP="003277FE">
      <w:pPr>
        <w:widowControl w:val="0"/>
        <w:autoSpaceDE w:val="0"/>
        <w:autoSpaceDN w:val="0"/>
        <w:adjustRightInd w:val="0"/>
        <w:spacing w:after="0" w:line="240" w:lineRule="auto"/>
        <w:jc w:val="both"/>
        <w:rPr>
          <w:rFonts w:ascii="Times New Roman" w:hAnsi="Times New Roman"/>
          <w:sz w:val="24"/>
          <w:szCs w:val="24"/>
        </w:rPr>
      </w:pPr>
      <w:r w:rsidRPr="005B525B">
        <w:rPr>
          <w:rFonts w:ascii="Times New Roman" w:hAnsi="Times New Roman"/>
          <w:noProof/>
          <w:color w:val="7030A0"/>
          <w:sz w:val="24"/>
          <w:szCs w:val="24"/>
        </w:rPr>
        <w:drawing>
          <wp:inline distT="0" distB="0" distL="0" distR="0" wp14:anchorId="43AB47D2" wp14:editId="1CEF28D2">
            <wp:extent cx="6076950" cy="25527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77FE" w:rsidRPr="00DD2064" w:rsidRDefault="003277FE" w:rsidP="00DD2064">
      <w:pPr>
        <w:widowControl w:val="0"/>
        <w:autoSpaceDE w:val="0"/>
        <w:autoSpaceDN w:val="0"/>
        <w:adjustRightInd w:val="0"/>
        <w:spacing w:after="0" w:line="240" w:lineRule="auto"/>
        <w:jc w:val="center"/>
        <w:rPr>
          <w:rFonts w:ascii="Times New Roman" w:hAnsi="Times New Roman"/>
          <w:b/>
        </w:rPr>
      </w:pPr>
      <w:r w:rsidRPr="00DD2064">
        <w:rPr>
          <w:rFonts w:ascii="Times New Roman" w:hAnsi="Times New Roman"/>
          <w:b/>
        </w:rPr>
        <w:t>Рис. 16 – Показатели объема верхнего предела государственного долга Амурской области в 2017-2020 годах (млн. руб.)</w:t>
      </w:r>
    </w:p>
    <w:p w:rsidR="003277FE" w:rsidRPr="005B525B" w:rsidRDefault="003277FE" w:rsidP="003277FE">
      <w:pPr>
        <w:spacing w:after="0" w:line="240" w:lineRule="auto"/>
        <w:ind w:firstLine="709"/>
        <w:jc w:val="both"/>
        <w:rPr>
          <w:rFonts w:ascii="Times New Roman" w:hAnsi="Times New Roman"/>
          <w:sz w:val="24"/>
          <w:szCs w:val="24"/>
        </w:rPr>
      </w:pPr>
      <w:r w:rsidRPr="005B525B">
        <w:rPr>
          <w:rFonts w:ascii="Times New Roman" w:hAnsi="Times New Roman"/>
          <w:sz w:val="24"/>
          <w:szCs w:val="24"/>
        </w:rPr>
        <w:lastRenderedPageBreak/>
        <w:t>Таким образом, верхний предел государственного внутреннего долга Амурской области на 1 января 201</w:t>
      </w:r>
      <w:r>
        <w:rPr>
          <w:rFonts w:ascii="Times New Roman" w:hAnsi="Times New Roman"/>
          <w:sz w:val="24"/>
          <w:szCs w:val="24"/>
        </w:rPr>
        <w:t>9</w:t>
      </w:r>
      <w:r w:rsidRPr="005B525B">
        <w:rPr>
          <w:rFonts w:ascii="Times New Roman" w:hAnsi="Times New Roman"/>
          <w:sz w:val="24"/>
          <w:szCs w:val="24"/>
        </w:rPr>
        <w:t xml:space="preserve"> года предусмотрен проектом областного бюджета на уровне 2</w:t>
      </w:r>
      <w:r>
        <w:rPr>
          <w:rFonts w:ascii="Times New Roman" w:hAnsi="Times New Roman"/>
          <w:sz w:val="24"/>
          <w:szCs w:val="24"/>
        </w:rPr>
        <w:t>2178796</w:t>
      </w:r>
      <w:r w:rsidRPr="005B525B">
        <w:rPr>
          <w:rFonts w:ascii="Times New Roman" w:hAnsi="Times New Roman"/>
          <w:sz w:val="24"/>
          <w:szCs w:val="24"/>
        </w:rPr>
        <w:t>,</w:t>
      </w:r>
      <w:r>
        <w:rPr>
          <w:rFonts w:ascii="Times New Roman" w:hAnsi="Times New Roman"/>
          <w:sz w:val="24"/>
          <w:szCs w:val="24"/>
        </w:rPr>
        <w:t>7</w:t>
      </w:r>
      <w:r w:rsidRPr="005B525B">
        <w:rPr>
          <w:rFonts w:ascii="Times New Roman" w:hAnsi="Times New Roman"/>
          <w:sz w:val="24"/>
          <w:szCs w:val="24"/>
        </w:rPr>
        <w:t xml:space="preserve"> тыс. рублей, что ниже его ожидаемого уровня на 1 января 201</w:t>
      </w:r>
      <w:r>
        <w:rPr>
          <w:rFonts w:ascii="Times New Roman" w:hAnsi="Times New Roman"/>
          <w:sz w:val="24"/>
          <w:szCs w:val="24"/>
        </w:rPr>
        <w:t>8</w:t>
      </w:r>
      <w:r w:rsidRPr="005B525B">
        <w:rPr>
          <w:rFonts w:ascii="Times New Roman" w:hAnsi="Times New Roman"/>
          <w:sz w:val="24"/>
          <w:szCs w:val="24"/>
        </w:rPr>
        <w:t xml:space="preserve"> года на </w:t>
      </w:r>
      <w:r w:rsidRPr="005B525B">
        <w:rPr>
          <w:rFonts w:ascii="Times New Roman" w:hAnsi="Times New Roman"/>
          <w:sz w:val="24"/>
          <w:szCs w:val="24"/>
        </w:rPr>
        <w:br/>
      </w:r>
      <w:r w:rsidRPr="00AB2033">
        <w:rPr>
          <w:rFonts w:ascii="Times New Roman" w:hAnsi="Times New Roman"/>
          <w:sz w:val="24"/>
          <w:szCs w:val="24"/>
        </w:rPr>
        <w:t xml:space="preserve">5075771,2 тыс. рублей, или 18,6 процента (в соответствии с Законом Амурской области </w:t>
      </w:r>
      <w:r w:rsidRPr="00AB2033">
        <w:rPr>
          <w:rFonts w:ascii="Times New Roman" w:hAnsi="Times New Roman"/>
          <w:sz w:val="24"/>
          <w:szCs w:val="24"/>
        </w:rPr>
        <w:br/>
        <w:t xml:space="preserve">«Об областном бюджете на 2017 год и плановый период 2018 и 2019 годов» от 20.12.2016 </w:t>
      </w:r>
      <w:r>
        <w:rPr>
          <w:rFonts w:ascii="Times New Roman" w:hAnsi="Times New Roman"/>
          <w:sz w:val="24"/>
          <w:szCs w:val="24"/>
        </w:rPr>
        <w:br/>
      </w:r>
      <w:r w:rsidRPr="00AB2033">
        <w:rPr>
          <w:rFonts w:ascii="Times New Roman" w:hAnsi="Times New Roman"/>
          <w:sz w:val="24"/>
          <w:szCs w:val="24"/>
        </w:rPr>
        <w:t>№ 27-ОЗ (в ред. от 02.10.2017) верхний предел государственного внутреннего долга Амурской области на 01 января 2018 года прогнозируется в сумме 27254567,9 тыс</w:t>
      </w:r>
      <w:r w:rsidRPr="005B525B">
        <w:rPr>
          <w:rFonts w:ascii="Times New Roman" w:hAnsi="Times New Roman"/>
          <w:sz w:val="24"/>
          <w:szCs w:val="24"/>
        </w:rPr>
        <w:t>. рублей),</w:t>
      </w:r>
      <w:r w:rsidRPr="005B525B">
        <w:rPr>
          <w:rFonts w:ascii="Times New Roman" w:hAnsi="Times New Roman"/>
          <w:i/>
          <w:sz w:val="24"/>
          <w:szCs w:val="24"/>
        </w:rPr>
        <w:t xml:space="preserve"> </w:t>
      </w:r>
      <w:r w:rsidRPr="005B525B">
        <w:rPr>
          <w:rFonts w:ascii="Times New Roman" w:hAnsi="Times New Roman"/>
          <w:sz w:val="24"/>
          <w:szCs w:val="24"/>
        </w:rPr>
        <w:t>на плановый период 201</w:t>
      </w:r>
      <w:r>
        <w:rPr>
          <w:rFonts w:ascii="Times New Roman" w:hAnsi="Times New Roman"/>
          <w:sz w:val="24"/>
          <w:szCs w:val="24"/>
        </w:rPr>
        <w:t>9</w:t>
      </w:r>
      <w:r w:rsidRPr="005B525B">
        <w:rPr>
          <w:rFonts w:ascii="Times New Roman" w:hAnsi="Times New Roman"/>
          <w:sz w:val="24"/>
          <w:szCs w:val="24"/>
        </w:rPr>
        <w:t xml:space="preserve"> и 20</w:t>
      </w:r>
      <w:r>
        <w:rPr>
          <w:rFonts w:ascii="Times New Roman" w:hAnsi="Times New Roman"/>
          <w:sz w:val="24"/>
          <w:szCs w:val="24"/>
        </w:rPr>
        <w:t>20</w:t>
      </w:r>
      <w:r w:rsidRPr="005B525B">
        <w:rPr>
          <w:rFonts w:ascii="Times New Roman" w:hAnsi="Times New Roman"/>
          <w:sz w:val="24"/>
          <w:szCs w:val="24"/>
        </w:rPr>
        <w:t xml:space="preserve"> годов предусмотрено снижение верхнего предела государственного внутреннего долга области на 01 января 20</w:t>
      </w:r>
      <w:r>
        <w:rPr>
          <w:rFonts w:ascii="Times New Roman" w:hAnsi="Times New Roman"/>
          <w:sz w:val="24"/>
          <w:szCs w:val="24"/>
        </w:rPr>
        <w:t>20</w:t>
      </w:r>
      <w:r w:rsidRPr="005B525B">
        <w:rPr>
          <w:rFonts w:ascii="Times New Roman" w:hAnsi="Times New Roman"/>
          <w:sz w:val="24"/>
          <w:szCs w:val="24"/>
        </w:rPr>
        <w:t xml:space="preserve"> года на </w:t>
      </w:r>
      <w:r>
        <w:rPr>
          <w:rFonts w:ascii="Times New Roman" w:hAnsi="Times New Roman"/>
          <w:sz w:val="24"/>
          <w:szCs w:val="24"/>
        </w:rPr>
        <w:br/>
        <w:t>25</w:t>
      </w:r>
      <w:r w:rsidRPr="005B525B">
        <w:rPr>
          <w:rFonts w:ascii="Times New Roman" w:hAnsi="Times New Roman"/>
          <w:sz w:val="24"/>
          <w:szCs w:val="24"/>
        </w:rPr>
        <w:t>,</w:t>
      </w:r>
      <w:r>
        <w:rPr>
          <w:rFonts w:ascii="Times New Roman" w:hAnsi="Times New Roman"/>
          <w:sz w:val="24"/>
          <w:szCs w:val="24"/>
        </w:rPr>
        <w:t>7</w:t>
      </w:r>
      <w:r w:rsidRPr="005B525B">
        <w:rPr>
          <w:rFonts w:ascii="Times New Roman" w:hAnsi="Times New Roman"/>
          <w:sz w:val="24"/>
          <w:szCs w:val="24"/>
        </w:rPr>
        <w:t xml:space="preserve"> процента, на 01 января 202</w:t>
      </w:r>
      <w:r>
        <w:rPr>
          <w:rFonts w:ascii="Times New Roman" w:hAnsi="Times New Roman"/>
          <w:sz w:val="24"/>
          <w:szCs w:val="24"/>
        </w:rPr>
        <w:t>1</w:t>
      </w:r>
      <w:r w:rsidRPr="005B525B">
        <w:rPr>
          <w:rFonts w:ascii="Times New Roman" w:hAnsi="Times New Roman"/>
          <w:sz w:val="24"/>
          <w:szCs w:val="24"/>
        </w:rPr>
        <w:t xml:space="preserve"> года на 3</w:t>
      </w:r>
      <w:r>
        <w:rPr>
          <w:rFonts w:ascii="Times New Roman" w:hAnsi="Times New Roman"/>
          <w:sz w:val="24"/>
          <w:szCs w:val="24"/>
        </w:rPr>
        <w:t>8</w:t>
      </w:r>
      <w:r w:rsidRPr="005B525B">
        <w:rPr>
          <w:rFonts w:ascii="Times New Roman" w:hAnsi="Times New Roman"/>
          <w:sz w:val="24"/>
          <w:szCs w:val="24"/>
        </w:rPr>
        <w:t>,</w:t>
      </w:r>
      <w:r>
        <w:rPr>
          <w:rFonts w:ascii="Times New Roman" w:hAnsi="Times New Roman"/>
          <w:sz w:val="24"/>
          <w:szCs w:val="24"/>
        </w:rPr>
        <w:t>3</w:t>
      </w:r>
      <w:r w:rsidRPr="005B525B">
        <w:rPr>
          <w:rFonts w:ascii="Times New Roman" w:hAnsi="Times New Roman"/>
          <w:sz w:val="24"/>
          <w:szCs w:val="24"/>
        </w:rPr>
        <w:t xml:space="preserve"> процента по отношению к ожидаемому уровню текущего года.</w:t>
      </w:r>
    </w:p>
    <w:p w:rsidR="003277FE" w:rsidRPr="005B525B" w:rsidRDefault="003277FE" w:rsidP="003277FE">
      <w:pPr>
        <w:spacing w:after="0" w:line="240" w:lineRule="auto"/>
        <w:ind w:firstLine="709"/>
        <w:jc w:val="both"/>
        <w:rPr>
          <w:rFonts w:ascii="Times New Roman" w:hAnsi="Times New Roman"/>
          <w:bCs/>
          <w:sz w:val="24"/>
          <w:szCs w:val="24"/>
        </w:rPr>
      </w:pPr>
      <w:r w:rsidRPr="005B525B">
        <w:rPr>
          <w:rFonts w:ascii="Times New Roman" w:hAnsi="Times New Roman"/>
          <w:sz w:val="24"/>
          <w:szCs w:val="24"/>
        </w:rPr>
        <w:t xml:space="preserve">Текстовая часть представленного законопроекта содержит сведения о предельных объемах государственного долга Амурской области, которые </w:t>
      </w:r>
      <w:r w:rsidRPr="005B525B">
        <w:rPr>
          <w:rFonts w:ascii="Times New Roman" w:hAnsi="Times New Roman"/>
          <w:bCs/>
          <w:sz w:val="24"/>
          <w:szCs w:val="24"/>
        </w:rPr>
        <w:t xml:space="preserve">составляют </w:t>
      </w:r>
      <w:r w:rsidRPr="005B525B">
        <w:rPr>
          <w:rFonts w:ascii="Times New Roman" w:hAnsi="Times New Roman"/>
          <w:sz w:val="24"/>
          <w:szCs w:val="24"/>
        </w:rPr>
        <w:t>на 201</w:t>
      </w:r>
      <w:r>
        <w:rPr>
          <w:rFonts w:ascii="Times New Roman" w:hAnsi="Times New Roman"/>
          <w:sz w:val="24"/>
          <w:szCs w:val="24"/>
        </w:rPr>
        <w:t>8</w:t>
      </w:r>
      <w:r w:rsidRPr="005B525B">
        <w:rPr>
          <w:rFonts w:ascii="Times New Roman" w:hAnsi="Times New Roman"/>
          <w:sz w:val="24"/>
          <w:szCs w:val="24"/>
        </w:rPr>
        <w:t xml:space="preserve"> год – 3</w:t>
      </w:r>
      <w:r>
        <w:rPr>
          <w:rFonts w:ascii="Times New Roman" w:hAnsi="Times New Roman"/>
          <w:sz w:val="24"/>
          <w:szCs w:val="24"/>
        </w:rPr>
        <w:t>7523319</w:t>
      </w:r>
      <w:r w:rsidRPr="005B525B">
        <w:rPr>
          <w:rFonts w:ascii="Times New Roman" w:hAnsi="Times New Roman"/>
          <w:sz w:val="24"/>
          <w:szCs w:val="24"/>
        </w:rPr>
        <w:t>,</w:t>
      </w:r>
      <w:r>
        <w:rPr>
          <w:rFonts w:ascii="Times New Roman" w:hAnsi="Times New Roman"/>
          <w:sz w:val="24"/>
          <w:szCs w:val="24"/>
        </w:rPr>
        <w:t>9</w:t>
      </w:r>
      <w:r w:rsidRPr="005B525B">
        <w:rPr>
          <w:rFonts w:ascii="Times New Roman" w:hAnsi="Times New Roman"/>
          <w:sz w:val="24"/>
          <w:szCs w:val="24"/>
        </w:rPr>
        <w:t xml:space="preserve"> тыс. рублей, на 201</w:t>
      </w:r>
      <w:r>
        <w:rPr>
          <w:rFonts w:ascii="Times New Roman" w:hAnsi="Times New Roman"/>
          <w:sz w:val="24"/>
          <w:szCs w:val="24"/>
        </w:rPr>
        <w:t>9</w:t>
      </w:r>
      <w:r w:rsidRPr="005B525B">
        <w:rPr>
          <w:rFonts w:ascii="Times New Roman" w:hAnsi="Times New Roman"/>
          <w:sz w:val="24"/>
          <w:szCs w:val="24"/>
        </w:rPr>
        <w:t xml:space="preserve"> год – 3</w:t>
      </w:r>
      <w:r>
        <w:rPr>
          <w:rFonts w:ascii="Times New Roman" w:hAnsi="Times New Roman"/>
          <w:sz w:val="24"/>
          <w:szCs w:val="24"/>
        </w:rPr>
        <w:t>9442358</w:t>
      </w:r>
      <w:r w:rsidRPr="005B525B">
        <w:rPr>
          <w:rFonts w:ascii="Times New Roman" w:hAnsi="Times New Roman"/>
          <w:sz w:val="24"/>
          <w:szCs w:val="24"/>
        </w:rPr>
        <w:t>,</w:t>
      </w:r>
      <w:r>
        <w:rPr>
          <w:rFonts w:ascii="Times New Roman" w:hAnsi="Times New Roman"/>
          <w:sz w:val="24"/>
          <w:szCs w:val="24"/>
        </w:rPr>
        <w:t>5</w:t>
      </w:r>
      <w:r w:rsidRPr="005B525B">
        <w:rPr>
          <w:rFonts w:ascii="Times New Roman" w:hAnsi="Times New Roman"/>
          <w:sz w:val="24"/>
          <w:szCs w:val="24"/>
        </w:rPr>
        <w:t xml:space="preserve"> тыс. рублей, на 20</w:t>
      </w:r>
      <w:r>
        <w:rPr>
          <w:rFonts w:ascii="Times New Roman" w:hAnsi="Times New Roman"/>
          <w:sz w:val="24"/>
          <w:szCs w:val="24"/>
        </w:rPr>
        <w:t>20</w:t>
      </w:r>
      <w:r w:rsidRPr="005B525B">
        <w:rPr>
          <w:rFonts w:ascii="Times New Roman" w:hAnsi="Times New Roman"/>
          <w:sz w:val="24"/>
          <w:szCs w:val="24"/>
        </w:rPr>
        <w:t xml:space="preserve"> год – </w:t>
      </w:r>
      <w:r>
        <w:rPr>
          <w:rFonts w:ascii="Times New Roman" w:hAnsi="Times New Roman"/>
          <w:sz w:val="24"/>
          <w:szCs w:val="24"/>
        </w:rPr>
        <w:br/>
        <w:t>41357275</w:t>
      </w:r>
      <w:r w:rsidRPr="005B525B">
        <w:rPr>
          <w:rFonts w:ascii="Times New Roman" w:hAnsi="Times New Roman"/>
          <w:sz w:val="24"/>
          <w:szCs w:val="24"/>
        </w:rPr>
        <w:t>,</w:t>
      </w:r>
      <w:r>
        <w:rPr>
          <w:rFonts w:ascii="Times New Roman" w:hAnsi="Times New Roman"/>
          <w:sz w:val="24"/>
          <w:szCs w:val="24"/>
        </w:rPr>
        <w:t>2</w:t>
      </w:r>
      <w:r w:rsidRPr="005B525B">
        <w:rPr>
          <w:rFonts w:ascii="Times New Roman" w:hAnsi="Times New Roman"/>
          <w:sz w:val="24"/>
          <w:szCs w:val="24"/>
        </w:rPr>
        <w:t xml:space="preserve"> тыс. рублей </w:t>
      </w:r>
      <w:r>
        <w:rPr>
          <w:rFonts w:ascii="Times New Roman" w:hAnsi="Times New Roman"/>
          <w:sz w:val="24"/>
          <w:szCs w:val="24"/>
        </w:rPr>
        <w:t xml:space="preserve">и установлены в пределах </w:t>
      </w:r>
      <w:r w:rsidRPr="005B525B">
        <w:rPr>
          <w:rFonts w:ascii="Times New Roman" w:hAnsi="Times New Roman"/>
          <w:bCs/>
          <w:sz w:val="24"/>
          <w:szCs w:val="24"/>
        </w:rPr>
        <w:t>общих годовых объемов налоговых и неналоговых доходов областного бюджета.</w:t>
      </w:r>
    </w:p>
    <w:p w:rsidR="003277FE" w:rsidRPr="005B525B" w:rsidRDefault="003277FE" w:rsidP="003277FE">
      <w:pPr>
        <w:spacing w:after="0" w:line="240" w:lineRule="auto"/>
        <w:ind w:firstLine="709"/>
        <w:jc w:val="both"/>
        <w:rPr>
          <w:rFonts w:ascii="Times New Roman" w:hAnsi="Times New Roman"/>
          <w:sz w:val="24"/>
          <w:szCs w:val="24"/>
        </w:rPr>
      </w:pPr>
      <w:r w:rsidRPr="005B525B">
        <w:rPr>
          <w:rFonts w:ascii="Times New Roman" w:hAnsi="Times New Roman"/>
          <w:sz w:val="24"/>
          <w:szCs w:val="24"/>
        </w:rPr>
        <w:t>Планируемая величина верхнего предела государственного долга Амурской области в 201</w:t>
      </w:r>
      <w:r>
        <w:rPr>
          <w:rFonts w:ascii="Times New Roman" w:hAnsi="Times New Roman"/>
          <w:sz w:val="24"/>
          <w:szCs w:val="24"/>
        </w:rPr>
        <w:t>8</w:t>
      </w:r>
      <w:r w:rsidRPr="005B525B">
        <w:rPr>
          <w:rFonts w:ascii="Times New Roman" w:hAnsi="Times New Roman"/>
          <w:sz w:val="24"/>
          <w:szCs w:val="24"/>
        </w:rPr>
        <w:t xml:space="preserve"> году составит </w:t>
      </w:r>
      <w:r>
        <w:rPr>
          <w:rFonts w:ascii="Times New Roman" w:hAnsi="Times New Roman"/>
          <w:sz w:val="24"/>
          <w:szCs w:val="24"/>
        </w:rPr>
        <w:t>59,1</w:t>
      </w:r>
      <w:r w:rsidRPr="005B525B">
        <w:rPr>
          <w:rFonts w:ascii="Times New Roman" w:hAnsi="Times New Roman"/>
          <w:sz w:val="24"/>
          <w:szCs w:val="24"/>
        </w:rPr>
        <w:t xml:space="preserve"> процента общего годового объема </w:t>
      </w:r>
      <w:r w:rsidRPr="005B525B">
        <w:rPr>
          <w:rFonts w:ascii="Times New Roman" w:hAnsi="Times New Roman"/>
          <w:bCs/>
          <w:sz w:val="24"/>
          <w:szCs w:val="24"/>
        </w:rPr>
        <w:t xml:space="preserve">налоговых и неналоговых </w:t>
      </w:r>
      <w:r w:rsidRPr="005B525B">
        <w:rPr>
          <w:rFonts w:ascii="Times New Roman" w:hAnsi="Times New Roman"/>
          <w:sz w:val="24"/>
          <w:szCs w:val="24"/>
        </w:rPr>
        <w:t>доходов областного бюджета на 201</w:t>
      </w:r>
      <w:r>
        <w:rPr>
          <w:rFonts w:ascii="Times New Roman" w:hAnsi="Times New Roman"/>
          <w:sz w:val="24"/>
          <w:szCs w:val="24"/>
        </w:rPr>
        <w:t>8 год. В 2019</w:t>
      </w:r>
      <w:r w:rsidRPr="005B525B">
        <w:rPr>
          <w:rFonts w:ascii="Times New Roman" w:hAnsi="Times New Roman"/>
          <w:sz w:val="24"/>
          <w:szCs w:val="24"/>
        </w:rPr>
        <w:t xml:space="preserve"> и 20</w:t>
      </w:r>
      <w:r>
        <w:rPr>
          <w:rFonts w:ascii="Times New Roman" w:hAnsi="Times New Roman"/>
          <w:sz w:val="24"/>
          <w:szCs w:val="24"/>
        </w:rPr>
        <w:t>20</w:t>
      </w:r>
      <w:r w:rsidRPr="005B525B">
        <w:rPr>
          <w:rFonts w:ascii="Times New Roman" w:hAnsi="Times New Roman"/>
          <w:sz w:val="24"/>
          <w:szCs w:val="24"/>
        </w:rPr>
        <w:t xml:space="preserve"> годах величина верхнего предела государственного долга Амурской области по отношению к годовому объему </w:t>
      </w:r>
      <w:r w:rsidRPr="005B525B">
        <w:rPr>
          <w:rFonts w:ascii="Times New Roman" w:hAnsi="Times New Roman"/>
          <w:bCs/>
          <w:sz w:val="24"/>
          <w:szCs w:val="24"/>
        </w:rPr>
        <w:t xml:space="preserve">налоговых и неналоговых </w:t>
      </w:r>
      <w:r w:rsidRPr="005B525B">
        <w:rPr>
          <w:rFonts w:ascii="Times New Roman" w:hAnsi="Times New Roman"/>
          <w:sz w:val="24"/>
          <w:szCs w:val="24"/>
        </w:rPr>
        <w:t>доходов областного бюджета прогнозируется соответственно 5</w:t>
      </w:r>
      <w:r>
        <w:rPr>
          <w:rFonts w:ascii="Times New Roman" w:hAnsi="Times New Roman"/>
          <w:sz w:val="24"/>
          <w:szCs w:val="24"/>
        </w:rPr>
        <w:t>1,3</w:t>
      </w:r>
      <w:r w:rsidRPr="005B525B">
        <w:rPr>
          <w:rFonts w:ascii="Times New Roman" w:hAnsi="Times New Roman"/>
          <w:sz w:val="24"/>
          <w:szCs w:val="24"/>
        </w:rPr>
        <w:t xml:space="preserve"> и </w:t>
      </w:r>
      <w:r>
        <w:rPr>
          <w:rFonts w:ascii="Times New Roman" w:hAnsi="Times New Roman"/>
          <w:sz w:val="24"/>
          <w:szCs w:val="24"/>
        </w:rPr>
        <w:br/>
        <w:t>4</w:t>
      </w:r>
      <w:r w:rsidRPr="005B525B">
        <w:rPr>
          <w:rFonts w:ascii="Times New Roman" w:hAnsi="Times New Roman"/>
          <w:sz w:val="24"/>
          <w:szCs w:val="24"/>
        </w:rPr>
        <w:t>0,</w:t>
      </w:r>
      <w:r>
        <w:rPr>
          <w:rFonts w:ascii="Times New Roman" w:hAnsi="Times New Roman"/>
          <w:sz w:val="24"/>
          <w:szCs w:val="24"/>
        </w:rPr>
        <w:t>7</w:t>
      </w:r>
      <w:r w:rsidRPr="005B525B">
        <w:rPr>
          <w:rFonts w:ascii="Times New Roman" w:hAnsi="Times New Roman"/>
          <w:sz w:val="24"/>
          <w:szCs w:val="24"/>
        </w:rPr>
        <w:t xml:space="preserve"> процента, что характеризует снижение долговой нагрузки областного бюджета и свидетельствует о планируемой реализации задачи в части сокращения государственного долга Амурской области и переходу к безопасной долговой нагрузке, а также выполнению условий реализации Долговой политики на 201</w:t>
      </w:r>
      <w:r>
        <w:rPr>
          <w:rFonts w:ascii="Times New Roman" w:hAnsi="Times New Roman"/>
          <w:sz w:val="24"/>
          <w:szCs w:val="24"/>
        </w:rPr>
        <w:t>8</w:t>
      </w:r>
      <w:r w:rsidRPr="005B525B">
        <w:rPr>
          <w:rFonts w:ascii="Times New Roman" w:hAnsi="Times New Roman"/>
          <w:sz w:val="24"/>
          <w:szCs w:val="24"/>
        </w:rPr>
        <w:t xml:space="preserve"> год и плановый период 201</w:t>
      </w:r>
      <w:r>
        <w:rPr>
          <w:rFonts w:ascii="Times New Roman" w:hAnsi="Times New Roman"/>
          <w:sz w:val="24"/>
          <w:szCs w:val="24"/>
        </w:rPr>
        <w:t>9</w:t>
      </w:r>
      <w:r w:rsidRPr="005B525B">
        <w:rPr>
          <w:rFonts w:ascii="Times New Roman" w:hAnsi="Times New Roman"/>
          <w:sz w:val="24"/>
          <w:szCs w:val="24"/>
        </w:rPr>
        <w:t>-20</w:t>
      </w:r>
      <w:r>
        <w:rPr>
          <w:rFonts w:ascii="Times New Roman" w:hAnsi="Times New Roman"/>
          <w:sz w:val="24"/>
          <w:szCs w:val="24"/>
        </w:rPr>
        <w:t>20</w:t>
      </w:r>
      <w:r w:rsidRPr="005B525B">
        <w:rPr>
          <w:rFonts w:ascii="Times New Roman" w:hAnsi="Times New Roman"/>
          <w:sz w:val="24"/>
          <w:szCs w:val="24"/>
        </w:rPr>
        <w:t xml:space="preserve"> годов.</w:t>
      </w:r>
    </w:p>
    <w:p w:rsidR="003277FE" w:rsidRPr="004F7F18" w:rsidRDefault="003277FE" w:rsidP="003277F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5B525B">
        <w:rPr>
          <w:rFonts w:ascii="Times New Roman" w:hAnsi="Times New Roman"/>
          <w:sz w:val="24"/>
          <w:szCs w:val="24"/>
        </w:rPr>
        <w:t xml:space="preserve"> структуре государственного внутреннего долга Амурской области на 1 января </w:t>
      </w:r>
      <w:r>
        <w:rPr>
          <w:rFonts w:ascii="Times New Roman" w:hAnsi="Times New Roman"/>
          <w:sz w:val="24"/>
          <w:szCs w:val="24"/>
        </w:rPr>
        <w:br/>
      </w:r>
      <w:r w:rsidRPr="005B525B">
        <w:rPr>
          <w:rFonts w:ascii="Times New Roman" w:hAnsi="Times New Roman"/>
          <w:sz w:val="24"/>
          <w:szCs w:val="24"/>
        </w:rPr>
        <w:t>201</w:t>
      </w:r>
      <w:r>
        <w:rPr>
          <w:rFonts w:ascii="Times New Roman" w:hAnsi="Times New Roman"/>
          <w:sz w:val="24"/>
          <w:szCs w:val="24"/>
        </w:rPr>
        <w:t>9</w:t>
      </w:r>
      <w:r w:rsidRPr="005B525B">
        <w:rPr>
          <w:rFonts w:ascii="Times New Roman" w:hAnsi="Times New Roman"/>
          <w:sz w:val="24"/>
          <w:szCs w:val="24"/>
        </w:rPr>
        <w:t xml:space="preserve"> года наибольший удельный вес будут занимать обязательства в форме бюджетных кредитов от других бюджетов бюджетной системы Российской Федерации - </w:t>
      </w:r>
      <w:r>
        <w:rPr>
          <w:rFonts w:ascii="Times New Roman" w:hAnsi="Times New Roman"/>
          <w:sz w:val="24"/>
          <w:szCs w:val="24"/>
        </w:rPr>
        <w:br/>
        <w:t>5</w:t>
      </w:r>
      <w:r w:rsidRPr="005B525B">
        <w:rPr>
          <w:rFonts w:ascii="Times New Roman" w:hAnsi="Times New Roman"/>
          <w:sz w:val="24"/>
          <w:szCs w:val="24"/>
        </w:rPr>
        <w:t>3,</w:t>
      </w:r>
      <w:r>
        <w:rPr>
          <w:rFonts w:ascii="Times New Roman" w:hAnsi="Times New Roman"/>
          <w:sz w:val="24"/>
          <w:szCs w:val="24"/>
        </w:rPr>
        <w:t>2</w:t>
      </w:r>
      <w:r w:rsidRPr="005B525B">
        <w:rPr>
          <w:rFonts w:ascii="Times New Roman" w:hAnsi="Times New Roman"/>
          <w:sz w:val="24"/>
          <w:szCs w:val="24"/>
        </w:rPr>
        <w:t xml:space="preserve"> процента, удельный вес кредитов кредитных организаций – </w:t>
      </w:r>
      <w:r>
        <w:rPr>
          <w:rFonts w:ascii="Times New Roman" w:hAnsi="Times New Roman"/>
          <w:sz w:val="24"/>
          <w:szCs w:val="24"/>
        </w:rPr>
        <w:t>4</w:t>
      </w:r>
      <w:r w:rsidRPr="005B525B">
        <w:rPr>
          <w:rFonts w:ascii="Times New Roman" w:hAnsi="Times New Roman"/>
          <w:sz w:val="24"/>
          <w:szCs w:val="24"/>
        </w:rPr>
        <w:t>6,</w:t>
      </w:r>
      <w:r>
        <w:rPr>
          <w:rFonts w:ascii="Times New Roman" w:hAnsi="Times New Roman"/>
          <w:sz w:val="24"/>
          <w:szCs w:val="24"/>
        </w:rPr>
        <w:t xml:space="preserve">8 процента. </w:t>
      </w:r>
      <w:r>
        <w:rPr>
          <w:rFonts w:ascii="Times New Roman" w:hAnsi="Times New Roman"/>
          <w:sz w:val="24"/>
          <w:szCs w:val="24"/>
        </w:rPr>
        <w:br/>
        <w:t>На 1 января 2020</w:t>
      </w:r>
      <w:r w:rsidRPr="005B525B">
        <w:rPr>
          <w:rFonts w:ascii="Times New Roman" w:hAnsi="Times New Roman"/>
          <w:sz w:val="24"/>
          <w:szCs w:val="24"/>
        </w:rPr>
        <w:t xml:space="preserve"> года структура государственного долга </w:t>
      </w:r>
      <w:r>
        <w:rPr>
          <w:rFonts w:ascii="Times New Roman" w:hAnsi="Times New Roman"/>
          <w:sz w:val="24"/>
          <w:szCs w:val="24"/>
        </w:rPr>
        <w:t>значительно</w:t>
      </w:r>
      <w:r w:rsidRPr="005B525B">
        <w:rPr>
          <w:rFonts w:ascii="Times New Roman" w:hAnsi="Times New Roman"/>
          <w:sz w:val="24"/>
          <w:szCs w:val="24"/>
        </w:rPr>
        <w:t xml:space="preserve"> изменится: удельный вес обязательств в форме бюджетных кредитов от других бюджетов бюджетной системы Российской Федерации составит </w:t>
      </w:r>
      <w:r>
        <w:rPr>
          <w:rFonts w:ascii="Times New Roman" w:hAnsi="Times New Roman"/>
          <w:sz w:val="24"/>
          <w:szCs w:val="24"/>
        </w:rPr>
        <w:t>2</w:t>
      </w:r>
      <w:r w:rsidRPr="005B525B">
        <w:rPr>
          <w:rFonts w:ascii="Times New Roman" w:hAnsi="Times New Roman"/>
          <w:sz w:val="24"/>
          <w:szCs w:val="24"/>
        </w:rPr>
        <w:t>4,</w:t>
      </w:r>
      <w:r>
        <w:rPr>
          <w:rFonts w:ascii="Times New Roman" w:hAnsi="Times New Roman"/>
          <w:sz w:val="24"/>
          <w:szCs w:val="24"/>
        </w:rPr>
        <w:t>6</w:t>
      </w:r>
      <w:r w:rsidRPr="005B525B">
        <w:rPr>
          <w:rFonts w:ascii="Times New Roman" w:hAnsi="Times New Roman"/>
          <w:sz w:val="24"/>
          <w:szCs w:val="24"/>
        </w:rPr>
        <w:t xml:space="preserve"> процента, кредитов кредитных организаций – </w:t>
      </w:r>
      <w:r>
        <w:rPr>
          <w:rFonts w:ascii="Times New Roman" w:hAnsi="Times New Roman"/>
          <w:sz w:val="24"/>
          <w:szCs w:val="24"/>
        </w:rPr>
        <w:br/>
        <w:t>7</w:t>
      </w:r>
      <w:r w:rsidRPr="005B525B">
        <w:rPr>
          <w:rFonts w:ascii="Times New Roman" w:hAnsi="Times New Roman"/>
          <w:sz w:val="24"/>
          <w:szCs w:val="24"/>
        </w:rPr>
        <w:t>5</w:t>
      </w:r>
      <w:r>
        <w:rPr>
          <w:rFonts w:ascii="Times New Roman" w:hAnsi="Times New Roman"/>
          <w:sz w:val="24"/>
          <w:szCs w:val="24"/>
        </w:rPr>
        <w:t>,</w:t>
      </w:r>
      <w:r w:rsidRPr="005B525B">
        <w:rPr>
          <w:rFonts w:ascii="Times New Roman" w:hAnsi="Times New Roman"/>
          <w:sz w:val="24"/>
          <w:szCs w:val="24"/>
        </w:rPr>
        <w:t>4 процента. По состоянию на 1 января 202</w:t>
      </w:r>
      <w:r>
        <w:rPr>
          <w:rFonts w:ascii="Times New Roman" w:hAnsi="Times New Roman"/>
          <w:sz w:val="24"/>
          <w:szCs w:val="24"/>
        </w:rPr>
        <w:t>1</w:t>
      </w:r>
      <w:r w:rsidRPr="005B525B">
        <w:rPr>
          <w:rFonts w:ascii="Times New Roman" w:hAnsi="Times New Roman"/>
          <w:sz w:val="24"/>
          <w:szCs w:val="24"/>
        </w:rPr>
        <w:t xml:space="preserve"> года структура государственного долга прогнозируется следующим образом: удельный вес обязательств в форме бюджетных кредитов от других бюджетов бюджетной </w:t>
      </w:r>
      <w:r>
        <w:rPr>
          <w:rFonts w:ascii="Times New Roman" w:hAnsi="Times New Roman"/>
          <w:sz w:val="24"/>
          <w:szCs w:val="24"/>
        </w:rPr>
        <w:t xml:space="preserve">системы Российской Федерации - </w:t>
      </w:r>
      <w:r>
        <w:rPr>
          <w:rFonts w:ascii="Times New Roman" w:hAnsi="Times New Roman"/>
          <w:sz w:val="24"/>
          <w:szCs w:val="24"/>
        </w:rPr>
        <w:br/>
        <w:t>2</w:t>
      </w:r>
      <w:r w:rsidRPr="005B525B">
        <w:rPr>
          <w:rFonts w:ascii="Times New Roman" w:hAnsi="Times New Roman"/>
          <w:sz w:val="24"/>
          <w:szCs w:val="24"/>
        </w:rPr>
        <w:t>9,</w:t>
      </w:r>
      <w:r w:rsidR="00604135">
        <w:rPr>
          <w:rFonts w:ascii="Times New Roman" w:hAnsi="Times New Roman"/>
          <w:sz w:val="24"/>
          <w:szCs w:val="24"/>
        </w:rPr>
        <w:t>6</w:t>
      </w:r>
      <w:r w:rsidRPr="005B525B">
        <w:rPr>
          <w:rFonts w:ascii="Times New Roman" w:hAnsi="Times New Roman"/>
          <w:sz w:val="24"/>
          <w:szCs w:val="24"/>
        </w:rPr>
        <w:t xml:space="preserve"> процент</w:t>
      </w:r>
      <w:r>
        <w:rPr>
          <w:rFonts w:ascii="Times New Roman" w:hAnsi="Times New Roman"/>
          <w:sz w:val="24"/>
          <w:szCs w:val="24"/>
        </w:rPr>
        <w:t>а</w:t>
      </w:r>
      <w:r w:rsidRPr="005B525B">
        <w:rPr>
          <w:rFonts w:ascii="Times New Roman" w:hAnsi="Times New Roman"/>
          <w:sz w:val="24"/>
          <w:szCs w:val="24"/>
        </w:rPr>
        <w:t>, кр</w:t>
      </w:r>
      <w:r>
        <w:rPr>
          <w:rFonts w:ascii="Times New Roman" w:hAnsi="Times New Roman"/>
          <w:sz w:val="24"/>
          <w:szCs w:val="24"/>
        </w:rPr>
        <w:t>еди</w:t>
      </w:r>
      <w:r w:rsidR="00604135">
        <w:rPr>
          <w:rFonts w:ascii="Times New Roman" w:hAnsi="Times New Roman"/>
          <w:sz w:val="24"/>
          <w:szCs w:val="24"/>
        </w:rPr>
        <w:t>тов кредитных организаций – 70,4</w:t>
      </w:r>
      <w:r w:rsidRPr="005B525B">
        <w:rPr>
          <w:rFonts w:ascii="Times New Roman" w:hAnsi="Times New Roman"/>
          <w:sz w:val="24"/>
          <w:szCs w:val="24"/>
        </w:rPr>
        <w:t xml:space="preserve"> процент</w:t>
      </w:r>
      <w:r>
        <w:rPr>
          <w:rFonts w:ascii="Times New Roman" w:hAnsi="Times New Roman"/>
          <w:sz w:val="24"/>
          <w:szCs w:val="24"/>
        </w:rPr>
        <w:t>а</w:t>
      </w:r>
      <w:r w:rsidR="00604135">
        <w:rPr>
          <w:rFonts w:ascii="Times New Roman" w:hAnsi="Times New Roman"/>
          <w:sz w:val="24"/>
          <w:szCs w:val="24"/>
        </w:rPr>
        <w:t>.</w:t>
      </w:r>
    </w:p>
    <w:p w:rsidR="003277FE" w:rsidRPr="004F7F18" w:rsidRDefault="003277FE" w:rsidP="003277FE">
      <w:pPr>
        <w:widowControl w:val="0"/>
        <w:autoSpaceDE w:val="0"/>
        <w:autoSpaceDN w:val="0"/>
        <w:adjustRightInd w:val="0"/>
        <w:spacing w:after="0" w:line="240" w:lineRule="auto"/>
        <w:ind w:firstLine="709"/>
        <w:jc w:val="both"/>
        <w:rPr>
          <w:rFonts w:ascii="Times New Roman" w:hAnsi="Times New Roman"/>
          <w:sz w:val="24"/>
          <w:szCs w:val="24"/>
        </w:rPr>
      </w:pPr>
      <w:r w:rsidRPr="004F7F18">
        <w:rPr>
          <w:rFonts w:ascii="Times New Roman" w:hAnsi="Times New Roman"/>
          <w:sz w:val="24"/>
          <w:szCs w:val="24"/>
        </w:rPr>
        <w:t xml:space="preserve">Согласно программе государственных внутренних заимствований Амурской области на 2018 и плановый период 2019 и 2020 годов планируется привлечь кредиты кредитных организаций в 2018 году в сумме 4790487,0 тыс. рублей, что в 1,8 раза ниже планового объема привлечения кредитов кредитных организаций в 2017 году </w:t>
      </w:r>
      <w:r w:rsidRPr="004F7F18">
        <w:rPr>
          <w:rFonts w:ascii="Times New Roman" w:hAnsi="Times New Roman"/>
          <w:sz w:val="24"/>
          <w:szCs w:val="24"/>
        </w:rPr>
        <w:br/>
        <w:t>(8523946,3 тыс. рублей), в 2019 году объем привлечения кредитов кредитных организаций прогнозируется в размере 10468150,3 тыс. рублей, в 2020 году – 13</w:t>
      </w:r>
      <w:r w:rsidR="00604135">
        <w:rPr>
          <w:rFonts w:ascii="Times New Roman" w:hAnsi="Times New Roman"/>
          <w:sz w:val="24"/>
          <w:szCs w:val="24"/>
        </w:rPr>
        <w:t>6</w:t>
      </w:r>
      <w:r w:rsidRPr="004F7F18">
        <w:rPr>
          <w:rFonts w:ascii="Times New Roman" w:hAnsi="Times New Roman"/>
          <w:sz w:val="24"/>
          <w:szCs w:val="24"/>
        </w:rPr>
        <w:t>7763,7 тыс. рублей.</w:t>
      </w:r>
    </w:p>
    <w:p w:rsidR="003277FE" w:rsidRDefault="003277FE" w:rsidP="003277FE">
      <w:pPr>
        <w:widowControl w:val="0"/>
        <w:autoSpaceDE w:val="0"/>
        <w:autoSpaceDN w:val="0"/>
        <w:adjustRightInd w:val="0"/>
        <w:spacing w:after="0" w:line="240" w:lineRule="auto"/>
        <w:ind w:firstLine="709"/>
        <w:jc w:val="both"/>
        <w:rPr>
          <w:rFonts w:ascii="Times New Roman" w:hAnsi="Times New Roman"/>
          <w:sz w:val="24"/>
          <w:szCs w:val="24"/>
        </w:rPr>
      </w:pPr>
      <w:r w:rsidRPr="004F7F18">
        <w:rPr>
          <w:rFonts w:ascii="Times New Roman" w:hAnsi="Times New Roman"/>
          <w:sz w:val="24"/>
          <w:szCs w:val="24"/>
        </w:rPr>
        <w:t xml:space="preserve">На рисунке 17 отражены объемы планируемого привлечения кредитов </w:t>
      </w:r>
      <w:r w:rsidRPr="005B525B">
        <w:rPr>
          <w:rFonts w:ascii="Times New Roman" w:hAnsi="Times New Roman"/>
          <w:sz w:val="24"/>
          <w:szCs w:val="24"/>
        </w:rPr>
        <w:t>кредитных организаций в динамике с 201</w:t>
      </w:r>
      <w:r>
        <w:rPr>
          <w:rFonts w:ascii="Times New Roman" w:hAnsi="Times New Roman"/>
          <w:sz w:val="24"/>
          <w:szCs w:val="24"/>
        </w:rPr>
        <w:t>7</w:t>
      </w:r>
      <w:r w:rsidRPr="005B525B">
        <w:rPr>
          <w:rFonts w:ascii="Times New Roman" w:hAnsi="Times New Roman"/>
          <w:sz w:val="24"/>
          <w:szCs w:val="24"/>
        </w:rPr>
        <w:t xml:space="preserve"> по 20</w:t>
      </w:r>
      <w:r>
        <w:rPr>
          <w:rFonts w:ascii="Times New Roman" w:hAnsi="Times New Roman"/>
          <w:sz w:val="24"/>
          <w:szCs w:val="24"/>
        </w:rPr>
        <w:t>20</w:t>
      </w:r>
      <w:r w:rsidRPr="005B525B">
        <w:rPr>
          <w:rFonts w:ascii="Times New Roman" w:hAnsi="Times New Roman"/>
          <w:sz w:val="24"/>
          <w:szCs w:val="24"/>
        </w:rPr>
        <w:t xml:space="preserve"> годы.</w:t>
      </w:r>
    </w:p>
    <w:p w:rsidR="00151D6E" w:rsidRPr="005B525B" w:rsidRDefault="00151D6E" w:rsidP="00151D6E">
      <w:pPr>
        <w:widowControl w:val="0"/>
        <w:autoSpaceDE w:val="0"/>
        <w:autoSpaceDN w:val="0"/>
        <w:adjustRightInd w:val="0"/>
        <w:spacing w:after="0" w:line="240" w:lineRule="auto"/>
        <w:ind w:firstLine="709"/>
        <w:jc w:val="both"/>
        <w:rPr>
          <w:rFonts w:ascii="Times New Roman" w:hAnsi="Times New Roman"/>
          <w:sz w:val="24"/>
          <w:szCs w:val="24"/>
        </w:rPr>
      </w:pPr>
      <w:r w:rsidRPr="005B525B">
        <w:rPr>
          <w:rFonts w:ascii="Times New Roman" w:hAnsi="Times New Roman"/>
          <w:sz w:val="24"/>
          <w:szCs w:val="24"/>
        </w:rPr>
        <w:t>Объем средств, планируемых к направлению на погашение обязательств по кредитам кредитных организаций, составляет: в 201</w:t>
      </w:r>
      <w:r>
        <w:rPr>
          <w:rFonts w:ascii="Times New Roman" w:hAnsi="Times New Roman"/>
          <w:sz w:val="24"/>
          <w:szCs w:val="24"/>
        </w:rPr>
        <w:t>8</w:t>
      </w:r>
      <w:r w:rsidRPr="005B525B">
        <w:rPr>
          <w:rFonts w:ascii="Times New Roman" w:hAnsi="Times New Roman"/>
          <w:sz w:val="24"/>
          <w:szCs w:val="24"/>
        </w:rPr>
        <w:t xml:space="preserve"> году – </w:t>
      </w:r>
      <w:r>
        <w:rPr>
          <w:rFonts w:ascii="Times New Roman" w:hAnsi="Times New Roman"/>
          <w:sz w:val="24"/>
          <w:szCs w:val="24"/>
        </w:rPr>
        <w:t>2931786,2</w:t>
      </w:r>
      <w:r w:rsidRPr="005B525B">
        <w:rPr>
          <w:rFonts w:ascii="Times New Roman" w:hAnsi="Times New Roman"/>
          <w:sz w:val="24"/>
          <w:szCs w:val="24"/>
        </w:rPr>
        <w:t xml:space="preserve"> тыс. рублей, в 201</w:t>
      </w:r>
      <w:r>
        <w:rPr>
          <w:rFonts w:ascii="Times New Roman" w:hAnsi="Times New Roman"/>
          <w:sz w:val="24"/>
          <w:szCs w:val="24"/>
        </w:rPr>
        <w:t>9</w:t>
      </w:r>
      <w:r w:rsidRPr="005B525B">
        <w:rPr>
          <w:rFonts w:ascii="Times New Roman" w:hAnsi="Times New Roman"/>
          <w:sz w:val="24"/>
          <w:szCs w:val="24"/>
        </w:rPr>
        <w:t xml:space="preserve"> году – </w:t>
      </w:r>
      <w:r>
        <w:rPr>
          <w:rFonts w:ascii="Times New Roman" w:hAnsi="Times New Roman"/>
          <w:sz w:val="24"/>
          <w:szCs w:val="24"/>
        </w:rPr>
        <w:t>5592160</w:t>
      </w:r>
      <w:r w:rsidRPr="005B525B">
        <w:rPr>
          <w:rFonts w:ascii="Times New Roman" w:hAnsi="Times New Roman"/>
          <w:sz w:val="24"/>
          <w:szCs w:val="24"/>
        </w:rPr>
        <w:t>,</w:t>
      </w:r>
      <w:r>
        <w:rPr>
          <w:rFonts w:ascii="Times New Roman" w:hAnsi="Times New Roman"/>
          <w:sz w:val="24"/>
          <w:szCs w:val="24"/>
        </w:rPr>
        <w:t>1</w:t>
      </w:r>
      <w:r w:rsidRPr="005B525B">
        <w:rPr>
          <w:rFonts w:ascii="Times New Roman" w:hAnsi="Times New Roman"/>
          <w:sz w:val="24"/>
          <w:szCs w:val="24"/>
        </w:rPr>
        <w:t xml:space="preserve"> тыс. рублей, в 20</w:t>
      </w:r>
      <w:r>
        <w:rPr>
          <w:rFonts w:ascii="Times New Roman" w:hAnsi="Times New Roman"/>
          <w:sz w:val="24"/>
          <w:szCs w:val="24"/>
        </w:rPr>
        <w:t>20</w:t>
      </w:r>
      <w:r w:rsidRPr="005B525B">
        <w:rPr>
          <w:rFonts w:ascii="Times New Roman" w:hAnsi="Times New Roman"/>
          <w:sz w:val="24"/>
          <w:szCs w:val="24"/>
        </w:rPr>
        <w:t xml:space="preserve"> году – </w:t>
      </w:r>
      <w:r>
        <w:rPr>
          <w:rFonts w:ascii="Times New Roman" w:hAnsi="Times New Roman"/>
          <w:sz w:val="24"/>
          <w:szCs w:val="24"/>
        </w:rPr>
        <w:t>4790487</w:t>
      </w:r>
      <w:r w:rsidRPr="005B525B">
        <w:rPr>
          <w:rFonts w:ascii="Times New Roman" w:hAnsi="Times New Roman"/>
          <w:sz w:val="24"/>
          <w:szCs w:val="24"/>
        </w:rPr>
        <w:t>,</w:t>
      </w:r>
      <w:r>
        <w:rPr>
          <w:rFonts w:ascii="Times New Roman" w:hAnsi="Times New Roman"/>
          <w:sz w:val="24"/>
          <w:szCs w:val="24"/>
        </w:rPr>
        <w:t>3</w:t>
      </w:r>
      <w:r w:rsidRPr="005B525B">
        <w:rPr>
          <w:rFonts w:ascii="Times New Roman" w:hAnsi="Times New Roman"/>
          <w:sz w:val="24"/>
          <w:szCs w:val="24"/>
        </w:rPr>
        <w:t xml:space="preserve"> тыс. рублей.</w:t>
      </w:r>
    </w:p>
    <w:p w:rsidR="00151D6E" w:rsidRDefault="00151D6E" w:rsidP="00151D6E">
      <w:pPr>
        <w:widowControl w:val="0"/>
        <w:autoSpaceDE w:val="0"/>
        <w:autoSpaceDN w:val="0"/>
        <w:adjustRightInd w:val="0"/>
        <w:spacing w:after="0" w:line="240" w:lineRule="auto"/>
        <w:ind w:firstLine="709"/>
        <w:jc w:val="both"/>
        <w:rPr>
          <w:rFonts w:ascii="Times New Roman" w:hAnsi="Times New Roman"/>
          <w:sz w:val="24"/>
          <w:szCs w:val="24"/>
        </w:rPr>
      </w:pPr>
      <w:r w:rsidRPr="005B525B">
        <w:rPr>
          <w:rFonts w:ascii="Times New Roman" w:hAnsi="Times New Roman"/>
          <w:sz w:val="24"/>
          <w:szCs w:val="24"/>
        </w:rPr>
        <w:t xml:space="preserve">В соответствии с соглашениями, заключенными </w:t>
      </w:r>
      <w:r>
        <w:rPr>
          <w:rFonts w:ascii="Times New Roman" w:hAnsi="Times New Roman"/>
          <w:sz w:val="24"/>
          <w:szCs w:val="24"/>
        </w:rPr>
        <w:t xml:space="preserve">Правительством области </w:t>
      </w:r>
      <w:r w:rsidRPr="005B525B">
        <w:rPr>
          <w:rFonts w:ascii="Times New Roman" w:hAnsi="Times New Roman"/>
          <w:sz w:val="24"/>
          <w:szCs w:val="24"/>
        </w:rPr>
        <w:t>с Министерством финансов Российской Федерации, объем средств, планируемых к направлению на погашение обязательств в форме бюджетных кредитов от других бюджетов бюджетной системы Российской Федерации, составляет: в 201</w:t>
      </w:r>
      <w:r>
        <w:rPr>
          <w:rFonts w:ascii="Times New Roman" w:hAnsi="Times New Roman"/>
          <w:sz w:val="24"/>
          <w:szCs w:val="24"/>
        </w:rPr>
        <w:t>8</w:t>
      </w:r>
      <w:r w:rsidRPr="005B525B">
        <w:rPr>
          <w:rFonts w:ascii="Times New Roman" w:hAnsi="Times New Roman"/>
          <w:sz w:val="24"/>
          <w:szCs w:val="24"/>
        </w:rPr>
        <w:t xml:space="preserve"> году – </w:t>
      </w:r>
      <w:r>
        <w:rPr>
          <w:rFonts w:ascii="Times New Roman" w:hAnsi="Times New Roman"/>
          <w:sz w:val="24"/>
          <w:szCs w:val="24"/>
        </w:rPr>
        <w:t>6810589</w:t>
      </w:r>
      <w:r w:rsidRPr="005B525B">
        <w:rPr>
          <w:rFonts w:ascii="Times New Roman" w:hAnsi="Times New Roman"/>
          <w:sz w:val="24"/>
          <w:szCs w:val="24"/>
        </w:rPr>
        <w:t>,</w:t>
      </w:r>
      <w:r>
        <w:rPr>
          <w:rFonts w:ascii="Times New Roman" w:hAnsi="Times New Roman"/>
          <w:sz w:val="24"/>
          <w:szCs w:val="24"/>
        </w:rPr>
        <w:t>5</w:t>
      </w:r>
      <w:r w:rsidRPr="005B525B">
        <w:rPr>
          <w:rFonts w:ascii="Times New Roman" w:hAnsi="Times New Roman"/>
          <w:sz w:val="24"/>
          <w:szCs w:val="24"/>
        </w:rPr>
        <w:t xml:space="preserve"> тыс. рублей, в 201</w:t>
      </w:r>
      <w:r>
        <w:rPr>
          <w:rFonts w:ascii="Times New Roman" w:hAnsi="Times New Roman"/>
          <w:sz w:val="24"/>
          <w:szCs w:val="24"/>
        </w:rPr>
        <w:t>9</w:t>
      </w:r>
      <w:r w:rsidRPr="005B525B">
        <w:rPr>
          <w:rFonts w:ascii="Times New Roman" w:hAnsi="Times New Roman"/>
          <w:sz w:val="24"/>
          <w:szCs w:val="24"/>
        </w:rPr>
        <w:t xml:space="preserve"> году – 6</w:t>
      </w:r>
      <w:r>
        <w:rPr>
          <w:rFonts w:ascii="Times New Roman" w:hAnsi="Times New Roman"/>
          <w:sz w:val="24"/>
          <w:szCs w:val="24"/>
        </w:rPr>
        <w:t>808344</w:t>
      </w:r>
      <w:r w:rsidRPr="005B525B">
        <w:rPr>
          <w:rFonts w:ascii="Times New Roman" w:hAnsi="Times New Roman"/>
          <w:sz w:val="24"/>
          <w:szCs w:val="24"/>
        </w:rPr>
        <w:t>,0 тыс. рублей</w:t>
      </w:r>
      <w:r>
        <w:rPr>
          <w:rFonts w:ascii="Times New Roman" w:hAnsi="Times New Roman"/>
          <w:sz w:val="24"/>
          <w:szCs w:val="24"/>
        </w:rPr>
        <w:t>.</w:t>
      </w:r>
    </w:p>
    <w:p w:rsidR="00151D6E" w:rsidRPr="005B525B" w:rsidRDefault="00151D6E" w:rsidP="003277FE">
      <w:pPr>
        <w:widowControl w:val="0"/>
        <w:autoSpaceDE w:val="0"/>
        <w:autoSpaceDN w:val="0"/>
        <w:adjustRightInd w:val="0"/>
        <w:spacing w:after="0" w:line="240" w:lineRule="auto"/>
        <w:ind w:firstLine="709"/>
        <w:jc w:val="both"/>
        <w:rPr>
          <w:rFonts w:ascii="Times New Roman" w:hAnsi="Times New Roman"/>
          <w:sz w:val="24"/>
          <w:szCs w:val="24"/>
        </w:rPr>
      </w:pPr>
    </w:p>
    <w:p w:rsidR="003277FE" w:rsidRPr="005B525B" w:rsidRDefault="003277FE" w:rsidP="003277FE">
      <w:pPr>
        <w:widowControl w:val="0"/>
        <w:autoSpaceDE w:val="0"/>
        <w:autoSpaceDN w:val="0"/>
        <w:adjustRightInd w:val="0"/>
        <w:spacing w:after="0" w:line="240" w:lineRule="auto"/>
        <w:jc w:val="center"/>
        <w:rPr>
          <w:rFonts w:ascii="Times New Roman" w:hAnsi="Times New Roman"/>
          <w:b/>
          <w:sz w:val="24"/>
          <w:szCs w:val="24"/>
        </w:rPr>
      </w:pPr>
      <w:r w:rsidRPr="005B525B">
        <w:rPr>
          <w:rFonts w:ascii="Times New Roman" w:hAnsi="Times New Roman"/>
          <w:noProof/>
          <w:color w:val="7030A0"/>
          <w:sz w:val="24"/>
          <w:szCs w:val="24"/>
        </w:rPr>
        <w:lastRenderedPageBreak/>
        <w:drawing>
          <wp:inline distT="0" distB="0" distL="0" distR="0" wp14:anchorId="1DFDB87D" wp14:editId="299B4FBB">
            <wp:extent cx="6067425" cy="32861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5B525B">
        <w:rPr>
          <w:rFonts w:ascii="Times New Roman" w:hAnsi="Times New Roman"/>
          <w:b/>
          <w:sz w:val="24"/>
          <w:szCs w:val="24"/>
        </w:rPr>
        <w:t xml:space="preserve">Рис. </w:t>
      </w:r>
      <w:r>
        <w:rPr>
          <w:rFonts w:ascii="Times New Roman" w:hAnsi="Times New Roman"/>
          <w:b/>
          <w:sz w:val="24"/>
          <w:szCs w:val="24"/>
        </w:rPr>
        <w:t>17</w:t>
      </w:r>
      <w:r w:rsidRPr="005B525B">
        <w:rPr>
          <w:rFonts w:ascii="Times New Roman" w:hAnsi="Times New Roman"/>
          <w:b/>
          <w:sz w:val="24"/>
          <w:szCs w:val="24"/>
        </w:rPr>
        <w:t xml:space="preserve"> – Объемы планируемого привлечения кредитов кредитных организаций</w:t>
      </w:r>
    </w:p>
    <w:p w:rsidR="003277FE" w:rsidRPr="005B525B" w:rsidRDefault="003277FE" w:rsidP="003277FE">
      <w:pPr>
        <w:widowControl w:val="0"/>
        <w:autoSpaceDE w:val="0"/>
        <w:autoSpaceDN w:val="0"/>
        <w:adjustRightInd w:val="0"/>
        <w:spacing w:after="0" w:line="240" w:lineRule="auto"/>
        <w:jc w:val="center"/>
        <w:rPr>
          <w:rFonts w:ascii="Times New Roman" w:hAnsi="Times New Roman"/>
          <w:b/>
          <w:sz w:val="24"/>
          <w:szCs w:val="24"/>
        </w:rPr>
      </w:pPr>
      <w:r w:rsidRPr="005B525B">
        <w:rPr>
          <w:rFonts w:ascii="Times New Roman" w:hAnsi="Times New Roman"/>
          <w:b/>
          <w:sz w:val="24"/>
          <w:szCs w:val="24"/>
        </w:rPr>
        <w:t>в 201</w:t>
      </w:r>
      <w:r>
        <w:rPr>
          <w:rFonts w:ascii="Times New Roman" w:hAnsi="Times New Roman"/>
          <w:b/>
          <w:sz w:val="24"/>
          <w:szCs w:val="24"/>
        </w:rPr>
        <w:t>7</w:t>
      </w:r>
      <w:r w:rsidRPr="005B525B">
        <w:rPr>
          <w:rFonts w:ascii="Times New Roman" w:hAnsi="Times New Roman"/>
          <w:b/>
          <w:sz w:val="24"/>
          <w:szCs w:val="24"/>
        </w:rPr>
        <w:t>-20</w:t>
      </w:r>
      <w:r>
        <w:rPr>
          <w:rFonts w:ascii="Times New Roman" w:hAnsi="Times New Roman"/>
          <w:b/>
          <w:sz w:val="24"/>
          <w:szCs w:val="24"/>
        </w:rPr>
        <w:t>20</w:t>
      </w:r>
      <w:r w:rsidRPr="005B525B">
        <w:rPr>
          <w:rFonts w:ascii="Times New Roman" w:hAnsi="Times New Roman"/>
          <w:b/>
          <w:sz w:val="24"/>
          <w:szCs w:val="24"/>
        </w:rPr>
        <w:t xml:space="preserve"> годах (млн. руб.)</w:t>
      </w:r>
    </w:p>
    <w:p w:rsidR="003277FE" w:rsidRPr="005B525B" w:rsidRDefault="003277FE" w:rsidP="003277FE">
      <w:pPr>
        <w:spacing w:after="0" w:line="240" w:lineRule="auto"/>
        <w:ind w:firstLine="709"/>
        <w:jc w:val="both"/>
        <w:rPr>
          <w:rFonts w:ascii="Times New Roman" w:hAnsi="Times New Roman"/>
          <w:sz w:val="24"/>
          <w:szCs w:val="24"/>
        </w:rPr>
      </w:pPr>
      <w:r w:rsidRPr="005B525B">
        <w:rPr>
          <w:rFonts w:ascii="Times New Roman" w:hAnsi="Times New Roman"/>
          <w:sz w:val="24"/>
          <w:szCs w:val="24"/>
        </w:rPr>
        <w:t xml:space="preserve">Программой государственных внутренних заимствований Амурской области на </w:t>
      </w:r>
      <w:r>
        <w:rPr>
          <w:rFonts w:ascii="Times New Roman" w:hAnsi="Times New Roman"/>
          <w:sz w:val="24"/>
          <w:szCs w:val="24"/>
        </w:rPr>
        <w:br/>
      </w:r>
      <w:r w:rsidRPr="005B525B">
        <w:rPr>
          <w:rFonts w:ascii="Times New Roman" w:hAnsi="Times New Roman"/>
          <w:sz w:val="24"/>
          <w:szCs w:val="24"/>
        </w:rPr>
        <w:t>201</w:t>
      </w:r>
      <w:r>
        <w:rPr>
          <w:rFonts w:ascii="Times New Roman" w:hAnsi="Times New Roman"/>
          <w:sz w:val="24"/>
          <w:szCs w:val="24"/>
        </w:rPr>
        <w:t>8</w:t>
      </w:r>
      <w:r w:rsidRPr="005B525B">
        <w:rPr>
          <w:rFonts w:ascii="Times New Roman" w:hAnsi="Times New Roman"/>
          <w:sz w:val="24"/>
          <w:szCs w:val="24"/>
        </w:rPr>
        <w:t xml:space="preserve"> год и плановый период 201</w:t>
      </w:r>
      <w:r>
        <w:rPr>
          <w:rFonts w:ascii="Times New Roman" w:hAnsi="Times New Roman"/>
          <w:sz w:val="24"/>
          <w:szCs w:val="24"/>
        </w:rPr>
        <w:t>9</w:t>
      </w:r>
      <w:r w:rsidRPr="005B525B">
        <w:rPr>
          <w:rFonts w:ascii="Times New Roman" w:hAnsi="Times New Roman"/>
          <w:sz w:val="24"/>
          <w:szCs w:val="24"/>
        </w:rPr>
        <w:t xml:space="preserve"> и 20</w:t>
      </w:r>
      <w:r>
        <w:rPr>
          <w:rFonts w:ascii="Times New Roman" w:hAnsi="Times New Roman"/>
          <w:sz w:val="24"/>
          <w:szCs w:val="24"/>
        </w:rPr>
        <w:t>20</w:t>
      </w:r>
      <w:r w:rsidRPr="005B525B">
        <w:rPr>
          <w:rFonts w:ascii="Times New Roman" w:hAnsi="Times New Roman"/>
          <w:sz w:val="24"/>
          <w:szCs w:val="24"/>
        </w:rPr>
        <w:t xml:space="preserve"> годов предусмотрено получение в 201</w:t>
      </w:r>
      <w:r>
        <w:rPr>
          <w:rFonts w:ascii="Times New Roman" w:hAnsi="Times New Roman"/>
          <w:sz w:val="24"/>
          <w:szCs w:val="24"/>
        </w:rPr>
        <w:t>8</w:t>
      </w:r>
      <w:r w:rsidRPr="005B525B">
        <w:rPr>
          <w:rFonts w:ascii="Times New Roman" w:hAnsi="Times New Roman"/>
          <w:sz w:val="24"/>
          <w:szCs w:val="24"/>
        </w:rPr>
        <w:t xml:space="preserve"> году за счет средств федерального бюджета бюджетных кредитов на пополнение остатка средств на счете областного бюджета и их погашение в объеме </w:t>
      </w:r>
      <w:r>
        <w:rPr>
          <w:rFonts w:ascii="Times New Roman" w:hAnsi="Times New Roman"/>
          <w:sz w:val="24"/>
          <w:szCs w:val="24"/>
        </w:rPr>
        <w:t>9930401,5</w:t>
      </w:r>
      <w:r w:rsidR="00151D6E">
        <w:rPr>
          <w:rFonts w:ascii="Times New Roman" w:hAnsi="Times New Roman"/>
          <w:sz w:val="24"/>
          <w:szCs w:val="24"/>
        </w:rPr>
        <w:t xml:space="preserve"> тыс. рублей.</w:t>
      </w:r>
    </w:p>
    <w:p w:rsidR="003277FE" w:rsidRPr="005B525B" w:rsidRDefault="003277FE" w:rsidP="003277FE">
      <w:pPr>
        <w:widowControl w:val="0"/>
        <w:spacing w:after="0" w:line="240" w:lineRule="auto"/>
        <w:ind w:firstLine="709"/>
        <w:jc w:val="both"/>
        <w:rPr>
          <w:rFonts w:ascii="Times New Roman" w:eastAsia="Calibri" w:hAnsi="Times New Roman"/>
          <w:sz w:val="24"/>
          <w:szCs w:val="24"/>
        </w:rPr>
      </w:pPr>
      <w:r w:rsidRPr="005B525B">
        <w:rPr>
          <w:rFonts w:ascii="Times New Roman" w:eastAsia="Calibri" w:hAnsi="Times New Roman"/>
          <w:sz w:val="24"/>
          <w:szCs w:val="24"/>
        </w:rPr>
        <w:t>Таким образом, Программой государственных внутренних заимствований Амурской области на 201</w:t>
      </w:r>
      <w:r>
        <w:rPr>
          <w:rFonts w:ascii="Times New Roman" w:eastAsia="Calibri" w:hAnsi="Times New Roman"/>
          <w:sz w:val="24"/>
          <w:szCs w:val="24"/>
        </w:rPr>
        <w:t>8</w:t>
      </w:r>
      <w:r w:rsidRPr="005B525B">
        <w:rPr>
          <w:rFonts w:ascii="Times New Roman" w:eastAsia="Calibri" w:hAnsi="Times New Roman"/>
          <w:sz w:val="24"/>
          <w:szCs w:val="24"/>
        </w:rPr>
        <w:t xml:space="preserve"> год при планируемом привлечении средств в объеме </w:t>
      </w:r>
      <w:r w:rsidRPr="005B525B">
        <w:rPr>
          <w:rFonts w:ascii="Times New Roman" w:eastAsia="Calibri" w:hAnsi="Times New Roman"/>
          <w:sz w:val="24"/>
          <w:szCs w:val="24"/>
        </w:rPr>
        <w:br/>
      </w:r>
      <w:r>
        <w:rPr>
          <w:rFonts w:ascii="Times New Roman" w:eastAsia="Calibri" w:hAnsi="Times New Roman"/>
          <w:sz w:val="24"/>
          <w:szCs w:val="24"/>
        </w:rPr>
        <w:t>4790487</w:t>
      </w:r>
      <w:r w:rsidRPr="005B525B">
        <w:rPr>
          <w:rFonts w:ascii="Times New Roman" w:eastAsia="Calibri" w:hAnsi="Times New Roman"/>
          <w:sz w:val="24"/>
          <w:szCs w:val="24"/>
        </w:rPr>
        <w:t>,</w:t>
      </w:r>
      <w:r>
        <w:rPr>
          <w:rFonts w:ascii="Times New Roman" w:eastAsia="Calibri" w:hAnsi="Times New Roman"/>
          <w:sz w:val="24"/>
          <w:szCs w:val="24"/>
        </w:rPr>
        <w:t>0</w:t>
      </w:r>
      <w:r w:rsidRPr="005B525B">
        <w:rPr>
          <w:rFonts w:ascii="Times New Roman" w:eastAsia="Calibri" w:hAnsi="Times New Roman"/>
          <w:sz w:val="24"/>
          <w:szCs w:val="24"/>
        </w:rPr>
        <w:t xml:space="preserve"> тыс. рублей (кредиты кредитных организаций), предусмотрено к погашению </w:t>
      </w:r>
      <w:r>
        <w:rPr>
          <w:rFonts w:ascii="Times New Roman" w:eastAsia="Calibri" w:hAnsi="Times New Roman"/>
          <w:sz w:val="24"/>
          <w:szCs w:val="24"/>
        </w:rPr>
        <w:t>9742375</w:t>
      </w:r>
      <w:r w:rsidRPr="005B525B">
        <w:rPr>
          <w:rFonts w:ascii="Times New Roman" w:eastAsia="Calibri" w:hAnsi="Times New Roman"/>
          <w:sz w:val="24"/>
          <w:szCs w:val="24"/>
        </w:rPr>
        <w:t>,</w:t>
      </w:r>
      <w:r>
        <w:rPr>
          <w:rFonts w:ascii="Times New Roman" w:eastAsia="Calibri" w:hAnsi="Times New Roman"/>
          <w:sz w:val="24"/>
          <w:szCs w:val="24"/>
        </w:rPr>
        <w:t>7</w:t>
      </w:r>
      <w:r w:rsidRPr="005B525B">
        <w:rPr>
          <w:rFonts w:ascii="Times New Roman" w:eastAsia="Calibri" w:hAnsi="Times New Roman"/>
          <w:sz w:val="24"/>
          <w:szCs w:val="24"/>
        </w:rPr>
        <w:t xml:space="preserve"> тыс. рублей (кредит</w:t>
      </w:r>
      <w:r>
        <w:rPr>
          <w:rFonts w:ascii="Times New Roman" w:eastAsia="Calibri" w:hAnsi="Times New Roman"/>
          <w:sz w:val="24"/>
          <w:szCs w:val="24"/>
        </w:rPr>
        <w:t>ы</w:t>
      </w:r>
      <w:r w:rsidRPr="005B525B">
        <w:rPr>
          <w:rFonts w:ascii="Times New Roman" w:eastAsia="Calibri" w:hAnsi="Times New Roman"/>
          <w:sz w:val="24"/>
          <w:szCs w:val="24"/>
        </w:rPr>
        <w:t xml:space="preserve"> кредитных организаций – </w:t>
      </w:r>
      <w:r>
        <w:rPr>
          <w:rFonts w:ascii="Times New Roman" w:eastAsia="Calibri" w:hAnsi="Times New Roman"/>
          <w:sz w:val="24"/>
          <w:szCs w:val="24"/>
        </w:rPr>
        <w:t>2931786</w:t>
      </w:r>
      <w:r w:rsidRPr="005B525B">
        <w:rPr>
          <w:rFonts w:ascii="Times New Roman" w:eastAsia="Calibri" w:hAnsi="Times New Roman"/>
          <w:sz w:val="24"/>
          <w:szCs w:val="24"/>
        </w:rPr>
        <w:t>,</w:t>
      </w:r>
      <w:r>
        <w:rPr>
          <w:rFonts w:ascii="Times New Roman" w:eastAsia="Calibri" w:hAnsi="Times New Roman"/>
          <w:sz w:val="24"/>
          <w:szCs w:val="24"/>
        </w:rPr>
        <w:t>2</w:t>
      </w:r>
      <w:r w:rsidRPr="005B525B">
        <w:rPr>
          <w:rFonts w:ascii="Times New Roman" w:eastAsia="Calibri" w:hAnsi="Times New Roman"/>
          <w:sz w:val="24"/>
          <w:szCs w:val="24"/>
        </w:rPr>
        <w:t xml:space="preserve"> тыс. рублей, бюджетны</w:t>
      </w:r>
      <w:r>
        <w:rPr>
          <w:rFonts w:ascii="Times New Roman" w:eastAsia="Calibri" w:hAnsi="Times New Roman"/>
          <w:sz w:val="24"/>
          <w:szCs w:val="24"/>
        </w:rPr>
        <w:t>е кредиты</w:t>
      </w:r>
      <w:r w:rsidRPr="005B525B">
        <w:rPr>
          <w:rFonts w:ascii="Times New Roman" w:eastAsia="Calibri" w:hAnsi="Times New Roman"/>
          <w:sz w:val="24"/>
          <w:szCs w:val="24"/>
        </w:rPr>
        <w:t xml:space="preserve"> – </w:t>
      </w:r>
      <w:r>
        <w:rPr>
          <w:rFonts w:ascii="Times New Roman" w:eastAsia="Calibri" w:hAnsi="Times New Roman"/>
          <w:sz w:val="24"/>
          <w:szCs w:val="24"/>
        </w:rPr>
        <w:t>6810589</w:t>
      </w:r>
      <w:r w:rsidRPr="005B525B">
        <w:rPr>
          <w:rFonts w:ascii="Times New Roman" w:eastAsia="Calibri" w:hAnsi="Times New Roman"/>
          <w:sz w:val="24"/>
          <w:szCs w:val="24"/>
        </w:rPr>
        <w:t>,</w:t>
      </w:r>
      <w:r>
        <w:rPr>
          <w:rFonts w:ascii="Times New Roman" w:eastAsia="Calibri" w:hAnsi="Times New Roman"/>
          <w:sz w:val="24"/>
          <w:szCs w:val="24"/>
        </w:rPr>
        <w:t>5</w:t>
      </w:r>
      <w:r w:rsidRPr="005B525B">
        <w:rPr>
          <w:rFonts w:ascii="Times New Roman" w:eastAsia="Calibri" w:hAnsi="Times New Roman"/>
          <w:sz w:val="24"/>
          <w:szCs w:val="24"/>
        </w:rPr>
        <w:t xml:space="preserve"> тыс. рублей); на 201</w:t>
      </w:r>
      <w:r>
        <w:rPr>
          <w:rFonts w:ascii="Times New Roman" w:eastAsia="Calibri" w:hAnsi="Times New Roman"/>
          <w:sz w:val="24"/>
          <w:szCs w:val="24"/>
        </w:rPr>
        <w:t>9</w:t>
      </w:r>
      <w:r w:rsidRPr="005B525B">
        <w:rPr>
          <w:rFonts w:ascii="Times New Roman" w:eastAsia="Calibri" w:hAnsi="Times New Roman"/>
          <w:sz w:val="24"/>
          <w:szCs w:val="24"/>
        </w:rPr>
        <w:t xml:space="preserve"> год: привлечение средств в объеме </w:t>
      </w:r>
      <w:r>
        <w:rPr>
          <w:rFonts w:ascii="Times New Roman" w:eastAsia="Calibri" w:hAnsi="Times New Roman"/>
          <w:sz w:val="24"/>
          <w:szCs w:val="24"/>
        </w:rPr>
        <w:t>10468150</w:t>
      </w:r>
      <w:r w:rsidRPr="005B525B">
        <w:rPr>
          <w:rFonts w:ascii="Times New Roman" w:eastAsia="Calibri" w:hAnsi="Times New Roman"/>
          <w:sz w:val="24"/>
          <w:szCs w:val="24"/>
        </w:rPr>
        <w:t xml:space="preserve">,3 тыс. рублей (кредиты кредитных организаций), к погашению </w:t>
      </w:r>
      <w:r>
        <w:rPr>
          <w:rFonts w:ascii="Times New Roman" w:eastAsia="Calibri" w:hAnsi="Times New Roman"/>
          <w:sz w:val="24"/>
          <w:szCs w:val="24"/>
        </w:rPr>
        <w:br/>
      </w:r>
      <w:r w:rsidRPr="005B525B">
        <w:rPr>
          <w:rFonts w:ascii="Times New Roman" w:eastAsia="Calibri" w:hAnsi="Times New Roman"/>
          <w:sz w:val="24"/>
          <w:szCs w:val="24"/>
        </w:rPr>
        <w:t>124</w:t>
      </w:r>
      <w:r>
        <w:rPr>
          <w:rFonts w:ascii="Times New Roman" w:eastAsia="Calibri" w:hAnsi="Times New Roman"/>
          <w:sz w:val="24"/>
          <w:szCs w:val="24"/>
        </w:rPr>
        <w:t>00504</w:t>
      </w:r>
      <w:r w:rsidRPr="005B525B">
        <w:rPr>
          <w:rFonts w:ascii="Times New Roman" w:eastAsia="Calibri" w:hAnsi="Times New Roman"/>
          <w:sz w:val="24"/>
          <w:szCs w:val="24"/>
        </w:rPr>
        <w:t>,</w:t>
      </w:r>
      <w:r>
        <w:rPr>
          <w:rFonts w:ascii="Times New Roman" w:eastAsia="Calibri" w:hAnsi="Times New Roman"/>
          <w:sz w:val="24"/>
          <w:szCs w:val="24"/>
        </w:rPr>
        <w:t>1</w:t>
      </w:r>
      <w:r w:rsidRPr="005B525B">
        <w:rPr>
          <w:rFonts w:ascii="Times New Roman" w:eastAsia="Calibri" w:hAnsi="Times New Roman"/>
          <w:sz w:val="24"/>
          <w:szCs w:val="24"/>
        </w:rPr>
        <w:t xml:space="preserve"> тыс. рублей (кредит</w:t>
      </w:r>
      <w:r>
        <w:rPr>
          <w:rFonts w:ascii="Times New Roman" w:eastAsia="Calibri" w:hAnsi="Times New Roman"/>
          <w:sz w:val="24"/>
          <w:szCs w:val="24"/>
        </w:rPr>
        <w:t>ы</w:t>
      </w:r>
      <w:r w:rsidRPr="005B525B">
        <w:rPr>
          <w:rFonts w:ascii="Times New Roman" w:eastAsia="Calibri" w:hAnsi="Times New Roman"/>
          <w:sz w:val="24"/>
          <w:szCs w:val="24"/>
        </w:rPr>
        <w:t xml:space="preserve"> кредитных организаций – </w:t>
      </w:r>
      <w:r>
        <w:rPr>
          <w:rFonts w:ascii="Times New Roman" w:eastAsia="Calibri" w:hAnsi="Times New Roman"/>
          <w:sz w:val="24"/>
          <w:szCs w:val="24"/>
        </w:rPr>
        <w:t>5592160</w:t>
      </w:r>
      <w:r w:rsidRPr="005B525B">
        <w:rPr>
          <w:rFonts w:ascii="Times New Roman" w:eastAsia="Calibri" w:hAnsi="Times New Roman"/>
          <w:sz w:val="24"/>
          <w:szCs w:val="24"/>
        </w:rPr>
        <w:t>,</w:t>
      </w:r>
      <w:r>
        <w:rPr>
          <w:rFonts w:ascii="Times New Roman" w:eastAsia="Calibri" w:hAnsi="Times New Roman"/>
          <w:sz w:val="24"/>
          <w:szCs w:val="24"/>
        </w:rPr>
        <w:t>1</w:t>
      </w:r>
      <w:r w:rsidRPr="005B525B">
        <w:rPr>
          <w:rFonts w:ascii="Times New Roman" w:eastAsia="Calibri" w:hAnsi="Times New Roman"/>
          <w:sz w:val="24"/>
          <w:szCs w:val="24"/>
        </w:rPr>
        <w:t xml:space="preserve"> тыс. рублей, бюджетны</w:t>
      </w:r>
      <w:r>
        <w:rPr>
          <w:rFonts w:ascii="Times New Roman" w:eastAsia="Calibri" w:hAnsi="Times New Roman"/>
          <w:sz w:val="24"/>
          <w:szCs w:val="24"/>
        </w:rPr>
        <w:t>е</w:t>
      </w:r>
      <w:r w:rsidRPr="005B525B">
        <w:rPr>
          <w:rFonts w:ascii="Times New Roman" w:eastAsia="Calibri" w:hAnsi="Times New Roman"/>
          <w:sz w:val="24"/>
          <w:szCs w:val="24"/>
        </w:rPr>
        <w:t xml:space="preserve"> кредит</w:t>
      </w:r>
      <w:r>
        <w:rPr>
          <w:rFonts w:ascii="Times New Roman" w:eastAsia="Calibri" w:hAnsi="Times New Roman"/>
          <w:sz w:val="24"/>
          <w:szCs w:val="24"/>
        </w:rPr>
        <w:t>ы</w:t>
      </w:r>
      <w:r w:rsidRPr="005B525B">
        <w:rPr>
          <w:rFonts w:ascii="Times New Roman" w:eastAsia="Calibri" w:hAnsi="Times New Roman"/>
          <w:sz w:val="24"/>
          <w:szCs w:val="24"/>
        </w:rPr>
        <w:t xml:space="preserve"> – </w:t>
      </w:r>
      <w:r>
        <w:rPr>
          <w:rFonts w:ascii="Times New Roman" w:eastAsia="Calibri" w:hAnsi="Times New Roman"/>
          <w:sz w:val="24"/>
          <w:szCs w:val="24"/>
        </w:rPr>
        <w:t>6808344</w:t>
      </w:r>
      <w:r w:rsidRPr="005B525B">
        <w:rPr>
          <w:rFonts w:ascii="Times New Roman" w:eastAsia="Calibri" w:hAnsi="Times New Roman"/>
          <w:sz w:val="24"/>
          <w:szCs w:val="24"/>
        </w:rPr>
        <w:t>,</w:t>
      </w:r>
      <w:r>
        <w:rPr>
          <w:rFonts w:ascii="Times New Roman" w:eastAsia="Calibri" w:hAnsi="Times New Roman"/>
          <w:sz w:val="24"/>
          <w:szCs w:val="24"/>
        </w:rPr>
        <w:t>0</w:t>
      </w:r>
      <w:r w:rsidRPr="005B525B">
        <w:rPr>
          <w:rFonts w:ascii="Times New Roman" w:eastAsia="Calibri" w:hAnsi="Times New Roman"/>
          <w:sz w:val="24"/>
          <w:szCs w:val="24"/>
        </w:rPr>
        <w:t xml:space="preserve"> тыс. рублей); на 20</w:t>
      </w:r>
      <w:r>
        <w:rPr>
          <w:rFonts w:ascii="Times New Roman" w:eastAsia="Calibri" w:hAnsi="Times New Roman"/>
          <w:sz w:val="24"/>
          <w:szCs w:val="24"/>
        </w:rPr>
        <w:t>20</w:t>
      </w:r>
      <w:r w:rsidRPr="005B525B">
        <w:rPr>
          <w:rFonts w:ascii="Times New Roman" w:eastAsia="Calibri" w:hAnsi="Times New Roman"/>
          <w:sz w:val="24"/>
          <w:szCs w:val="24"/>
        </w:rPr>
        <w:t xml:space="preserve"> год: привлечение средств в объеме </w:t>
      </w:r>
      <w:r>
        <w:rPr>
          <w:rFonts w:ascii="Times New Roman" w:eastAsia="Calibri" w:hAnsi="Times New Roman"/>
          <w:sz w:val="24"/>
          <w:szCs w:val="24"/>
        </w:rPr>
        <w:t>1367763</w:t>
      </w:r>
      <w:r w:rsidRPr="005B525B">
        <w:rPr>
          <w:rFonts w:ascii="Times New Roman" w:eastAsia="Calibri" w:hAnsi="Times New Roman"/>
          <w:sz w:val="24"/>
          <w:szCs w:val="24"/>
        </w:rPr>
        <w:t>,</w:t>
      </w:r>
      <w:r>
        <w:rPr>
          <w:rFonts w:ascii="Times New Roman" w:eastAsia="Calibri" w:hAnsi="Times New Roman"/>
          <w:sz w:val="24"/>
          <w:szCs w:val="24"/>
        </w:rPr>
        <w:t>7 тыс. рублей (кредиты</w:t>
      </w:r>
      <w:r w:rsidRPr="005B525B">
        <w:rPr>
          <w:rFonts w:ascii="Times New Roman" w:eastAsia="Calibri" w:hAnsi="Times New Roman"/>
          <w:sz w:val="24"/>
          <w:szCs w:val="24"/>
        </w:rPr>
        <w:t xml:space="preserve"> кредитных организаций), к погашению </w:t>
      </w:r>
      <w:r>
        <w:rPr>
          <w:rFonts w:ascii="Times New Roman" w:eastAsia="Calibri" w:hAnsi="Times New Roman"/>
          <w:sz w:val="24"/>
          <w:szCs w:val="24"/>
        </w:rPr>
        <w:t>4790487</w:t>
      </w:r>
      <w:r w:rsidRPr="005B525B">
        <w:rPr>
          <w:rFonts w:ascii="Times New Roman" w:eastAsia="Calibri" w:hAnsi="Times New Roman"/>
          <w:sz w:val="24"/>
          <w:szCs w:val="24"/>
        </w:rPr>
        <w:t>,</w:t>
      </w:r>
      <w:r>
        <w:rPr>
          <w:rFonts w:ascii="Times New Roman" w:eastAsia="Calibri" w:hAnsi="Times New Roman"/>
          <w:sz w:val="24"/>
          <w:szCs w:val="24"/>
        </w:rPr>
        <w:t>3</w:t>
      </w:r>
      <w:r w:rsidRPr="005B525B">
        <w:rPr>
          <w:rFonts w:ascii="Times New Roman" w:eastAsia="Calibri" w:hAnsi="Times New Roman"/>
          <w:sz w:val="24"/>
          <w:szCs w:val="24"/>
        </w:rPr>
        <w:t xml:space="preserve"> тыс. рублей (кредит</w:t>
      </w:r>
      <w:r>
        <w:rPr>
          <w:rFonts w:ascii="Times New Roman" w:eastAsia="Calibri" w:hAnsi="Times New Roman"/>
          <w:sz w:val="24"/>
          <w:szCs w:val="24"/>
        </w:rPr>
        <w:t>ы</w:t>
      </w:r>
      <w:r w:rsidRPr="005B525B">
        <w:rPr>
          <w:rFonts w:ascii="Times New Roman" w:eastAsia="Calibri" w:hAnsi="Times New Roman"/>
          <w:sz w:val="24"/>
          <w:szCs w:val="24"/>
        </w:rPr>
        <w:t xml:space="preserve"> кредитных организаций</w:t>
      </w:r>
      <w:r>
        <w:rPr>
          <w:rFonts w:ascii="Times New Roman" w:eastAsia="Calibri" w:hAnsi="Times New Roman"/>
          <w:sz w:val="24"/>
          <w:szCs w:val="24"/>
        </w:rPr>
        <w:t>)</w:t>
      </w:r>
      <w:r w:rsidRPr="005B525B">
        <w:rPr>
          <w:rFonts w:ascii="Times New Roman" w:eastAsia="Calibri" w:hAnsi="Times New Roman"/>
          <w:sz w:val="24"/>
          <w:szCs w:val="24"/>
        </w:rPr>
        <w:t>. Снижение объемов привлечения средств при росте объемов погашения кредитов от кредитных организаций и бюджетных кредитов ведет к снижению объема государственного долга, но одновременно создает риски в обеспечении устойчивости и сбаланс</w:t>
      </w:r>
      <w:r w:rsidR="00151D6E">
        <w:rPr>
          <w:rFonts w:ascii="Times New Roman" w:eastAsia="Calibri" w:hAnsi="Times New Roman"/>
          <w:sz w:val="24"/>
          <w:szCs w:val="24"/>
        </w:rPr>
        <w:t>ированности областного бюджета.</w:t>
      </w:r>
    </w:p>
    <w:p w:rsidR="003277FE" w:rsidRPr="0009111C" w:rsidRDefault="003277FE" w:rsidP="003277FE">
      <w:pPr>
        <w:widowControl w:val="0"/>
        <w:autoSpaceDE w:val="0"/>
        <w:autoSpaceDN w:val="0"/>
        <w:adjustRightInd w:val="0"/>
        <w:spacing w:after="0" w:line="240" w:lineRule="auto"/>
        <w:ind w:firstLine="709"/>
        <w:jc w:val="both"/>
        <w:rPr>
          <w:rFonts w:ascii="Times New Roman" w:hAnsi="Times New Roman"/>
          <w:sz w:val="24"/>
          <w:szCs w:val="24"/>
        </w:rPr>
      </w:pPr>
      <w:r w:rsidRPr="005B525B">
        <w:rPr>
          <w:rFonts w:ascii="Times New Roman" w:hAnsi="Times New Roman"/>
          <w:sz w:val="24"/>
          <w:szCs w:val="24"/>
        </w:rPr>
        <w:t xml:space="preserve">В соответствии с требованиями статьи 111 Бюджетного кодекса Российской Федерации законом о бюджете устанавливается объем расходов на обслуживание государственного долга </w:t>
      </w:r>
      <w:r w:rsidRPr="0009111C">
        <w:rPr>
          <w:rFonts w:ascii="Times New Roman" w:hAnsi="Times New Roman"/>
          <w:sz w:val="24"/>
          <w:szCs w:val="24"/>
        </w:rPr>
        <w:t xml:space="preserve">субъекта Российской Федерации. В представленном к рассмотрению проекте закона Амурской области «Об областном бюджете на 2018 год и плановый период 2019 и 2020 годов» данный показатель отражен по тексту </w:t>
      </w:r>
      <w:r w:rsidRPr="0009111C">
        <w:rPr>
          <w:rFonts w:ascii="Times New Roman" w:hAnsi="Times New Roman"/>
          <w:sz w:val="24"/>
          <w:szCs w:val="24"/>
        </w:rPr>
        <w:br/>
        <w:t xml:space="preserve">статьи 7 законопроекта и в приложениях № 10 и № 11 к законопроекту. Расходы на обслуживание государственного долга, представляющие собой выплату процентных платежей по привлеченным кредитам, предусмотрены на 2018 год в объеме </w:t>
      </w:r>
      <w:r w:rsidRPr="0009111C">
        <w:rPr>
          <w:rFonts w:ascii="Times New Roman" w:hAnsi="Times New Roman"/>
          <w:sz w:val="24"/>
          <w:szCs w:val="24"/>
        </w:rPr>
        <w:br/>
        <w:t xml:space="preserve">980845,4 тыс. рублей, что на 28201,8 тыс. рублей, или 3,0 процента, меньше по сравнению с планируемыми расходами на обслуживание долга в 2017 году </w:t>
      </w:r>
      <w:r w:rsidRPr="0009111C">
        <w:rPr>
          <w:rFonts w:ascii="Times New Roman" w:hAnsi="Times New Roman"/>
          <w:sz w:val="24"/>
          <w:szCs w:val="24"/>
        </w:rPr>
        <w:br/>
        <w:t>(952643</w:t>
      </w:r>
      <w:r w:rsidRPr="0009111C">
        <w:rPr>
          <w:rFonts w:ascii="Times New Roman" w:eastAsiaTheme="minorHAnsi" w:hAnsi="Times New Roman"/>
          <w:sz w:val="24"/>
          <w:szCs w:val="24"/>
          <w:lang w:eastAsia="en-US"/>
        </w:rPr>
        <w:t>,6 тыс. рублей</w:t>
      </w:r>
      <w:r w:rsidRPr="0009111C">
        <w:rPr>
          <w:rFonts w:ascii="Times New Roman" w:hAnsi="Times New Roman"/>
          <w:sz w:val="24"/>
          <w:szCs w:val="24"/>
        </w:rPr>
        <w:t xml:space="preserve">). Расходы </w:t>
      </w:r>
      <w:r w:rsidRPr="005B525B">
        <w:rPr>
          <w:rFonts w:ascii="Times New Roman" w:hAnsi="Times New Roman"/>
          <w:sz w:val="24"/>
          <w:szCs w:val="24"/>
        </w:rPr>
        <w:t>на обслуживание государственного долга на 201</w:t>
      </w:r>
      <w:r>
        <w:rPr>
          <w:rFonts w:ascii="Times New Roman" w:hAnsi="Times New Roman"/>
          <w:sz w:val="24"/>
          <w:szCs w:val="24"/>
        </w:rPr>
        <w:t>9</w:t>
      </w:r>
      <w:r w:rsidRPr="005B525B">
        <w:rPr>
          <w:rFonts w:ascii="Times New Roman" w:hAnsi="Times New Roman"/>
          <w:sz w:val="24"/>
          <w:szCs w:val="24"/>
        </w:rPr>
        <w:t xml:space="preserve"> год прогнозируются в объеме 1</w:t>
      </w:r>
      <w:r>
        <w:rPr>
          <w:rFonts w:ascii="Times New Roman" w:hAnsi="Times New Roman"/>
          <w:sz w:val="24"/>
          <w:szCs w:val="24"/>
        </w:rPr>
        <w:t>035892</w:t>
      </w:r>
      <w:r w:rsidRPr="005B525B">
        <w:rPr>
          <w:rFonts w:ascii="Times New Roman" w:hAnsi="Times New Roman"/>
          <w:sz w:val="24"/>
          <w:szCs w:val="24"/>
        </w:rPr>
        <w:t>,</w:t>
      </w:r>
      <w:r>
        <w:rPr>
          <w:rFonts w:ascii="Times New Roman" w:hAnsi="Times New Roman"/>
          <w:sz w:val="24"/>
          <w:szCs w:val="24"/>
        </w:rPr>
        <w:t>1</w:t>
      </w:r>
      <w:r w:rsidRPr="005B525B">
        <w:rPr>
          <w:rFonts w:ascii="Times New Roman" w:hAnsi="Times New Roman"/>
          <w:sz w:val="24"/>
          <w:szCs w:val="24"/>
        </w:rPr>
        <w:t xml:space="preserve"> тыс. рублей, на 20</w:t>
      </w:r>
      <w:r>
        <w:rPr>
          <w:rFonts w:ascii="Times New Roman" w:hAnsi="Times New Roman"/>
          <w:sz w:val="24"/>
          <w:szCs w:val="24"/>
        </w:rPr>
        <w:t>20</w:t>
      </w:r>
      <w:r w:rsidRPr="005B525B">
        <w:rPr>
          <w:rFonts w:ascii="Times New Roman" w:hAnsi="Times New Roman"/>
          <w:sz w:val="24"/>
          <w:szCs w:val="24"/>
        </w:rPr>
        <w:t xml:space="preserve"> год в объеме 1</w:t>
      </w:r>
      <w:r>
        <w:rPr>
          <w:rFonts w:ascii="Times New Roman" w:hAnsi="Times New Roman"/>
          <w:sz w:val="24"/>
          <w:szCs w:val="24"/>
        </w:rPr>
        <w:t>419996</w:t>
      </w:r>
      <w:r w:rsidRPr="005B525B">
        <w:rPr>
          <w:rFonts w:ascii="Times New Roman" w:hAnsi="Times New Roman"/>
          <w:sz w:val="24"/>
          <w:szCs w:val="24"/>
        </w:rPr>
        <w:t>,</w:t>
      </w:r>
      <w:r>
        <w:rPr>
          <w:rFonts w:ascii="Times New Roman" w:hAnsi="Times New Roman"/>
          <w:sz w:val="24"/>
          <w:szCs w:val="24"/>
        </w:rPr>
        <w:t>0</w:t>
      </w:r>
      <w:r w:rsidRPr="005B525B">
        <w:rPr>
          <w:rFonts w:ascii="Times New Roman" w:hAnsi="Times New Roman"/>
          <w:sz w:val="24"/>
          <w:szCs w:val="24"/>
        </w:rPr>
        <w:t xml:space="preserve"> тыс. рублей.</w:t>
      </w:r>
    </w:p>
    <w:p w:rsidR="003277FE" w:rsidRPr="005B525B" w:rsidRDefault="003277FE" w:rsidP="003277FE">
      <w:pPr>
        <w:autoSpaceDE w:val="0"/>
        <w:autoSpaceDN w:val="0"/>
        <w:adjustRightInd w:val="0"/>
        <w:spacing w:after="0" w:line="240" w:lineRule="auto"/>
        <w:ind w:firstLine="709"/>
        <w:jc w:val="both"/>
        <w:outlineLvl w:val="3"/>
        <w:rPr>
          <w:rFonts w:ascii="Times New Roman" w:hAnsi="Times New Roman"/>
          <w:sz w:val="24"/>
          <w:szCs w:val="24"/>
        </w:rPr>
      </w:pPr>
      <w:r w:rsidRPr="0009111C">
        <w:rPr>
          <w:rFonts w:ascii="Times New Roman" w:hAnsi="Times New Roman"/>
          <w:sz w:val="24"/>
          <w:szCs w:val="24"/>
        </w:rPr>
        <w:lastRenderedPageBreak/>
        <w:t xml:space="preserve">Объем расходов </w:t>
      </w:r>
      <w:r w:rsidRPr="005B525B">
        <w:rPr>
          <w:rFonts w:ascii="Times New Roman" w:hAnsi="Times New Roman"/>
          <w:sz w:val="24"/>
          <w:szCs w:val="24"/>
        </w:rPr>
        <w:t>на обслуживание государственного долга составляет в 201</w:t>
      </w:r>
      <w:r>
        <w:rPr>
          <w:rFonts w:ascii="Times New Roman" w:hAnsi="Times New Roman"/>
          <w:sz w:val="24"/>
          <w:szCs w:val="24"/>
        </w:rPr>
        <w:t>8</w:t>
      </w:r>
      <w:r w:rsidRPr="005B525B">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rPr>
        <w:br/>
        <w:t>2019 годах -2</w:t>
      </w:r>
      <w:r w:rsidRPr="005B525B">
        <w:rPr>
          <w:rFonts w:ascii="Times New Roman" w:hAnsi="Times New Roman"/>
          <w:sz w:val="24"/>
          <w:szCs w:val="24"/>
        </w:rPr>
        <w:t>,</w:t>
      </w:r>
      <w:r>
        <w:rPr>
          <w:rFonts w:ascii="Times New Roman" w:hAnsi="Times New Roman"/>
          <w:sz w:val="24"/>
          <w:szCs w:val="24"/>
        </w:rPr>
        <w:t>6</w:t>
      </w:r>
      <w:r w:rsidRPr="005B525B">
        <w:rPr>
          <w:rFonts w:ascii="Times New Roman" w:hAnsi="Times New Roman"/>
          <w:sz w:val="24"/>
          <w:szCs w:val="24"/>
        </w:rPr>
        <w:t xml:space="preserve"> процента, в 20</w:t>
      </w:r>
      <w:r>
        <w:rPr>
          <w:rFonts w:ascii="Times New Roman" w:hAnsi="Times New Roman"/>
          <w:sz w:val="24"/>
          <w:szCs w:val="24"/>
        </w:rPr>
        <w:t>20</w:t>
      </w:r>
      <w:r w:rsidRPr="005B525B">
        <w:rPr>
          <w:rFonts w:ascii="Times New Roman" w:hAnsi="Times New Roman"/>
          <w:sz w:val="24"/>
          <w:szCs w:val="24"/>
        </w:rPr>
        <w:t xml:space="preserve"> году – 3,</w:t>
      </w:r>
      <w:r>
        <w:rPr>
          <w:rFonts w:ascii="Times New Roman" w:hAnsi="Times New Roman"/>
          <w:sz w:val="24"/>
          <w:szCs w:val="24"/>
        </w:rPr>
        <w:t>4</w:t>
      </w:r>
      <w:r w:rsidRPr="005B525B">
        <w:rPr>
          <w:rFonts w:ascii="Times New Roman" w:hAnsi="Times New Roman"/>
          <w:sz w:val="24"/>
          <w:szCs w:val="24"/>
        </w:rPr>
        <w:t xml:space="preserve"> процента </w:t>
      </w:r>
      <w:r w:rsidRPr="005B525B">
        <w:rPr>
          <w:rFonts w:ascii="Times New Roman" w:hAnsi="Times New Roman"/>
          <w:bCs/>
          <w:sz w:val="24"/>
          <w:szCs w:val="24"/>
        </w:rPr>
        <w:t>общего годового объема налоговых и неналоговых доходов областного бюджета</w:t>
      </w:r>
      <w:r w:rsidR="00B91F9B">
        <w:rPr>
          <w:rFonts w:ascii="Times New Roman" w:hAnsi="Times New Roman"/>
          <w:bCs/>
          <w:sz w:val="24"/>
          <w:szCs w:val="24"/>
        </w:rPr>
        <w:t>.</w:t>
      </w:r>
    </w:p>
    <w:p w:rsidR="003277FE" w:rsidRPr="005B525B" w:rsidRDefault="003277FE" w:rsidP="003277FE">
      <w:pPr>
        <w:autoSpaceDE w:val="0"/>
        <w:autoSpaceDN w:val="0"/>
        <w:adjustRightInd w:val="0"/>
        <w:spacing w:after="0" w:line="240" w:lineRule="auto"/>
        <w:ind w:firstLine="709"/>
        <w:jc w:val="both"/>
        <w:outlineLvl w:val="3"/>
        <w:rPr>
          <w:rFonts w:ascii="Times New Roman" w:hAnsi="Times New Roman"/>
          <w:sz w:val="24"/>
          <w:szCs w:val="24"/>
        </w:rPr>
      </w:pPr>
      <w:r w:rsidRPr="005B525B">
        <w:rPr>
          <w:rFonts w:ascii="Times New Roman" w:hAnsi="Times New Roman"/>
          <w:sz w:val="24"/>
          <w:szCs w:val="24"/>
        </w:rPr>
        <w:t xml:space="preserve">По результатам проведенного </w:t>
      </w:r>
      <w:r w:rsidRPr="0009111C">
        <w:rPr>
          <w:rFonts w:ascii="Times New Roman" w:hAnsi="Times New Roman"/>
          <w:sz w:val="24"/>
          <w:szCs w:val="24"/>
        </w:rPr>
        <w:t xml:space="preserve">анализа показателей государственного долга Амурской области контрольно-счетная палата области отмечает, что объем расходов на погашение и обслуживание государственного долга в процентах к общему объему заимствований (коэффициент покрытия) составит в 2018 году – 223,9 процента, </w:t>
      </w:r>
      <w:r w:rsidRPr="0009111C">
        <w:rPr>
          <w:rFonts w:ascii="Times New Roman" w:hAnsi="Times New Roman"/>
          <w:sz w:val="24"/>
          <w:szCs w:val="24"/>
        </w:rPr>
        <w:br/>
        <w:t xml:space="preserve">в 2019 году – 128,4 процента, в 2020 году – 454,1 процента, при планируемом коэффициенте покрытия в 2017 году в размере 145,0 процентов. Таким образом, в 2018-2020 годах объемы расходов на погашение и обслуживание </w:t>
      </w:r>
      <w:r w:rsidRPr="005B525B">
        <w:rPr>
          <w:rFonts w:ascii="Times New Roman" w:hAnsi="Times New Roman"/>
          <w:sz w:val="24"/>
          <w:szCs w:val="24"/>
        </w:rPr>
        <w:t>государственного долга области значительно превышают объемы заимствований.</w:t>
      </w:r>
    </w:p>
    <w:p w:rsidR="003277FE" w:rsidRDefault="003277FE" w:rsidP="003277FE">
      <w:pPr>
        <w:autoSpaceDE w:val="0"/>
        <w:autoSpaceDN w:val="0"/>
        <w:adjustRightInd w:val="0"/>
        <w:spacing w:after="0" w:line="240" w:lineRule="auto"/>
        <w:ind w:firstLine="709"/>
        <w:jc w:val="both"/>
        <w:outlineLvl w:val="3"/>
        <w:rPr>
          <w:rFonts w:ascii="Times New Roman" w:hAnsi="Times New Roman"/>
          <w:sz w:val="24"/>
          <w:szCs w:val="24"/>
        </w:rPr>
      </w:pPr>
      <w:r w:rsidRPr="003277FE">
        <w:rPr>
          <w:rFonts w:ascii="Times New Roman" w:hAnsi="Times New Roman"/>
          <w:sz w:val="24"/>
          <w:szCs w:val="24"/>
        </w:rPr>
        <w:t xml:space="preserve">На рисунке 18 представлено </w:t>
      </w:r>
      <w:r w:rsidRPr="005B525B">
        <w:rPr>
          <w:rFonts w:ascii="Times New Roman" w:hAnsi="Times New Roman"/>
          <w:sz w:val="24"/>
          <w:szCs w:val="24"/>
        </w:rPr>
        <w:t xml:space="preserve">соотношение объемов расходов на погашение и обслуживание государственного долга к общему объему заимствований в </w:t>
      </w:r>
      <w:r w:rsidRPr="005B525B">
        <w:rPr>
          <w:rFonts w:ascii="Times New Roman" w:hAnsi="Times New Roman"/>
          <w:sz w:val="24"/>
          <w:szCs w:val="24"/>
        </w:rPr>
        <w:br/>
        <w:t>201</w:t>
      </w:r>
      <w:r>
        <w:rPr>
          <w:rFonts w:ascii="Times New Roman" w:hAnsi="Times New Roman"/>
          <w:sz w:val="24"/>
          <w:szCs w:val="24"/>
        </w:rPr>
        <w:t>7</w:t>
      </w:r>
      <w:r w:rsidRPr="005B525B">
        <w:rPr>
          <w:rFonts w:ascii="Times New Roman" w:hAnsi="Times New Roman"/>
          <w:sz w:val="24"/>
          <w:szCs w:val="24"/>
        </w:rPr>
        <w:t>-20</w:t>
      </w:r>
      <w:r>
        <w:rPr>
          <w:rFonts w:ascii="Times New Roman" w:hAnsi="Times New Roman"/>
          <w:sz w:val="24"/>
          <w:szCs w:val="24"/>
        </w:rPr>
        <w:t>20</w:t>
      </w:r>
      <w:r w:rsidRPr="005B525B">
        <w:rPr>
          <w:rFonts w:ascii="Times New Roman" w:hAnsi="Times New Roman"/>
          <w:sz w:val="24"/>
          <w:szCs w:val="24"/>
        </w:rPr>
        <w:t xml:space="preserve"> годах.</w:t>
      </w:r>
    </w:p>
    <w:p w:rsidR="00B91F9B" w:rsidRPr="005B525B" w:rsidRDefault="00B91F9B" w:rsidP="003277FE">
      <w:pPr>
        <w:autoSpaceDE w:val="0"/>
        <w:autoSpaceDN w:val="0"/>
        <w:adjustRightInd w:val="0"/>
        <w:spacing w:after="0" w:line="240" w:lineRule="auto"/>
        <w:ind w:firstLine="709"/>
        <w:jc w:val="both"/>
        <w:outlineLvl w:val="3"/>
        <w:rPr>
          <w:rFonts w:ascii="Times New Roman" w:hAnsi="Times New Roman"/>
          <w:sz w:val="24"/>
          <w:szCs w:val="24"/>
        </w:rPr>
      </w:pPr>
    </w:p>
    <w:p w:rsidR="003277FE" w:rsidRPr="005B525B" w:rsidRDefault="003277FE" w:rsidP="003277FE">
      <w:pPr>
        <w:autoSpaceDE w:val="0"/>
        <w:autoSpaceDN w:val="0"/>
        <w:adjustRightInd w:val="0"/>
        <w:spacing w:after="0" w:line="240" w:lineRule="auto"/>
        <w:jc w:val="both"/>
        <w:outlineLvl w:val="3"/>
        <w:rPr>
          <w:rFonts w:ascii="Times New Roman" w:hAnsi="Times New Roman"/>
          <w:b/>
          <w:sz w:val="24"/>
          <w:szCs w:val="24"/>
        </w:rPr>
      </w:pPr>
      <w:r w:rsidRPr="005B525B">
        <w:rPr>
          <w:noProof/>
        </w:rPr>
        <w:drawing>
          <wp:inline distT="0" distB="0" distL="0" distR="0" wp14:anchorId="464E74E0" wp14:editId="4AE69B34">
            <wp:extent cx="6115050" cy="48196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277FE" w:rsidRPr="005B525B" w:rsidRDefault="003277FE" w:rsidP="003277FE">
      <w:pPr>
        <w:autoSpaceDE w:val="0"/>
        <w:autoSpaceDN w:val="0"/>
        <w:adjustRightInd w:val="0"/>
        <w:spacing w:after="0" w:line="240" w:lineRule="auto"/>
        <w:ind w:firstLine="709"/>
        <w:jc w:val="center"/>
        <w:outlineLvl w:val="3"/>
        <w:rPr>
          <w:rFonts w:ascii="Times New Roman" w:hAnsi="Times New Roman"/>
          <w:b/>
          <w:sz w:val="24"/>
          <w:szCs w:val="24"/>
        </w:rPr>
      </w:pPr>
      <w:r w:rsidRPr="005B525B">
        <w:rPr>
          <w:rFonts w:ascii="Times New Roman" w:hAnsi="Times New Roman"/>
          <w:b/>
          <w:sz w:val="24"/>
          <w:szCs w:val="24"/>
        </w:rPr>
        <w:t xml:space="preserve">Рис. </w:t>
      </w:r>
      <w:r>
        <w:rPr>
          <w:rFonts w:ascii="Times New Roman" w:hAnsi="Times New Roman"/>
          <w:b/>
          <w:sz w:val="24"/>
          <w:szCs w:val="24"/>
        </w:rPr>
        <w:t>18</w:t>
      </w:r>
      <w:r w:rsidRPr="005B525B">
        <w:rPr>
          <w:rFonts w:ascii="Times New Roman" w:hAnsi="Times New Roman"/>
          <w:b/>
          <w:sz w:val="24"/>
          <w:szCs w:val="24"/>
        </w:rPr>
        <w:t xml:space="preserve"> – Соотношение расходов на погашение и обслуживание государственного долга к общему объему заимствований в 201</w:t>
      </w:r>
      <w:r>
        <w:rPr>
          <w:rFonts w:ascii="Times New Roman" w:hAnsi="Times New Roman"/>
          <w:b/>
          <w:sz w:val="24"/>
          <w:szCs w:val="24"/>
        </w:rPr>
        <w:t>7</w:t>
      </w:r>
      <w:r w:rsidRPr="005B525B">
        <w:rPr>
          <w:rFonts w:ascii="Times New Roman" w:hAnsi="Times New Roman"/>
          <w:b/>
          <w:sz w:val="24"/>
          <w:szCs w:val="24"/>
        </w:rPr>
        <w:t>-20</w:t>
      </w:r>
      <w:r>
        <w:rPr>
          <w:rFonts w:ascii="Times New Roman" w:hAnsi="Times New Roman"/>
          <w:b/>
          <w:sz w:val="24"/>
          <w:szCs w:val="24"/>
        </w:rPr>
        <w:t>20</w:t>
      </w:r>
      <w:r w:rsidRPr="005B525B">
        <w:rPr>
          <w:rFonts w:ascii="Times New Roman" w:hAnsi="Times New Roman"/>
          <w:b/>
          <w:sz w:val="24"/>
          <w:szCs w:val="24"/>
        </w:rPr>
        <w:t xml:space="preserve"> годах</w:t>
      </w:r>
    </w:p>
    <w:p w:rsidR="003277FE" w:rsidRPr="005B525B" w:rsidRDefault="003277FE" w:rsidP="003277FE">
      <w:pPr>
        <w:spacing w:after="0" w:line="240" w:lineRule="auto"/>
        <w:ind w:firstLine="709"/>
        <w:jc w:val="both"/>
        <w:rPr>
          <w:rFonts w:ascii="Times New Roman" w:hAnsi="Times New Roman"/>
          <w:sz w:val="24"/>
          <w:szCs w:val="24"/>
        </w:rPr>
      </w:pPr>
    </w:p>
    <w:p w:rsidR="003277FE" w:rsidRDefault="003277FE" w:rsidP="003277FE">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5B525B">
        <w:rPr>
          <w:rFonts w:ascii="Times New Roman" w:hAnsi="Times New Roman"/>
          <w:sz w:val="24"/>
          <w:szCs w:val="24"/>
        </w:rPr>
        <w:t>редоставление государственных гарантий Амурской области</w:t>
      </w:r>
      <w:r>
        <w:rPr>
          <w:rFonts w:ascii="Times New Roman" w:hAnsi="Times New Roman"/>
          <w:sz w:val="24"/>
          <w:szCs w:val="24"/>
        </w:rPr>
        <w:t xml:space="preserve"> в 2018-2020 годах проектом закона Амурской области «Об областном бюджете на 2018 и плановый период 2019 и 2020 годов» не предусмотрено. А</w:t>
      </w:r>
      <w:r w:rsidRPr="005B525B">
        <w:rPr>
          <w:rFonts w:ascii="Times New Roman" w:hAnsi="Times New Roman"/>
          <w:sz w:val="24"/>
          <w:szCs w:val="24"/>
        </w:rPr>
        <w:t xml:space="preserve">ссигнования на исполнение обязательств по </w:t>
      </w:r>
      <w:r>
        <w:rPr>
          <w:rFonts w:ascii="Times New Roman" w:hAnsi="Times New Roman"/>
          <w:sz w:val="24"/>
          <w:szCs w:val="24"/>
        </w:rPr>
        <w:t xml:space="preserve">ранее </w:t>
      </w:r>
      <w:r w:rsidRPr="005B525B">
        <w:rPr>
          <w:rFonts w:ascii="Times New Roman" w:hAnsi="Times New Roman"/>
          <w:sz w:val="24"/>
          <w:szCs w:val="24"/>
        </w:rPr>
        <w:t>предоставленным государственным гарант</w:t>
      </w:r>
      <w:r>
        <w:rPr>
          <w:rFonts w:ascii="Times New Roman" w:hAnsi="Times New Roman"/>
          <w:sz w:val="24"/>
          <w:szCs w:val="24"/>
        </w:rPr>
        <w:t>иям Амурской области не предусмо</w:t>
      </w:r>
      <w:r w:rsidRPr="005B525B">
        <w:rPr>
          <w:rFonts w:ascii="Times New Roman" w:hAnsi="Times New Roman"/>
          <w:sz w:val="24"/>
          <w:szCs w:val="24"/>
        </w:rPr>
        <w:t>тр</w:t>
      </w:r>
      <w:r>
        <w:rPr>
          <w:rFonts w:ascii="Times New Roman" w:hAnsi="Times New Roman"/>
          <w:sz w:val="24"/>
          <w:szCs w:val="24"/>
        </w:rPr>
        <w:t>ены</w:t>
      </w:r>
      <w:r w:rsidRPr="005B525B">
        <w:rPr>
          <w:rFonts w:ascii="Times New Roman" w:hAnsi="Times New Roman"/>
          <w:sz w:val="24"/>
          <w:szCs w:val="24"/>
        </w:rPr>
        <w:t xml:space="preserve"> в связи с окончанием </w:t>
      </w:r>
      <w:r>
        <w:rPr>
          <w:rFonts w:ascii="Times New Roman" w:hAnsi="Times New Roman"/>
          <w:sz w:val="24"/>
          <w:szCs w:val="24"/>
        </w:rPr>
        <w:t>в 2017 году</w:t>
      </w:r>
      <w:r w:rsidRPr="005B525B">
        <w:rPr>
          <w:rFonts w:ascii="Times New Roman" w:hAnsi="Times New Roman"/>
          <w:sz w:val="24"/>
          <w:szCs w:val="24"/>
        </w:rPr>
        <w:t xml:space="preserve"> срока действия предоставленных государственных гарантий Амурской области.</w:t>
      </w:r>
    </w:p>
    <w:p w:rsidR="003277FE" w:rsidRDefault="003277FE" w:rsidP="003277FE"/>
    <w:p w:rsidR="00D75BCC" w:rsidRPr="00D75BCC" w:rsidRDefault="00D75BCC" w:rsidP="00D75BCC">
      <w:pPr>
        <w:pStyle w:val="a4"/>
        <w:numPr>
          <w:ilvl w:val="0"/>
          <w:numId w:val="2"/>
        </w:numPr>
        <w:spacing w:after="0" w:line="240" w:lineRule="auto"/>
        <w:jc w:val="center"/>
        <w:rPr>
          <w:rFonts w:ascii="Times New Roman" w:hAnsi="Times New Roman"/>
          <w:b/>
          <w:sz w:val="24"/>
          <w:szCs w:val="24"/>
        </w:rPr>
      </w:pPr>
      <w:r w:rsidRPr="00D75BCC">
        <w:rPr>
          <w:rFonts w:ascii="Times New Roman" w:hAnsi="Times New Roman"/>
          <w:b/>
          <w:sz w:val="24"/>
          <w:szCs w:val="24"/>
        </w:rPr>
        <w:lastRenderedPageBreak/>
        <w:t>Анализ текстовых статей проекта закона Амурской области</w:t>
      </w:r>
    </w:p>
    <w:p w:rsidR="00D75BCC" w:rsidRPr="00D75BCC" w:rsidRDefault="00D75BCC" w:rsidP="00D75BCC">
      <w:pPr>
        <w:spacing w:after="0" w:line="240" w:lineRule="auto"/>
        <w:ind w:firstLine="709"/>
        <w:jc w:val="center"/>
        <w:rPr>
          <w:rFonts w:ascii="Times New Roman" w:hAnsi="Times New Roman"/>
          <w:b/>
          <w:sz w:val="24"/>
          <w:szCs w:val="24"/>
        </w:rPr>
      </w:pPr>
      <w:r w:rsidRPr="00D75BCC">
        <w:rPr>
          <w:rFonts w:ascii="Times New Roman" w:hAnsi="Times New Roman"/>
          <w:b/>
          <w:sz w:val="24"/>
          <w:szCs w:val="24"/>
        </w:rPr>
        <w:t>«Об областном бюджете на 2018 год и плановый период 2019 и 2020 годов»</w:t>
      </w:r>
    </w:p>
    <w:p w:rsidR="00D75BCC" w:rsidRPr="00D75BCC" w:rsidRDefault="00D75BCC" w:rsidP="00D75BCC">
      <w:pPr>
        <w:spacing w:after="0" w:line="240" w:lineRule="auto"/>
        <w:ind w:firstLine="709"/>
        <w:jc w:val="both"/>
        <w:rPr>
          <w:rFonts w:ascii="Times New Roman" w:hAnsi="Times New Roman"/>
          <w:bCs/>
          <w:sz w:val="24"/>
          <w:szCs w:val="24"/>
        </w:rPr>
      </w:pPr>
      <w:r w:rsidRPr="00D75BCC">
        <w:rPr>
          <w:rFonts w:ascii="Times New Roman" w:hAnsi="Times New Roman"/>
          <w:sz w:val="24"/>
          <w:szCs w:val="24"/>
        </w:rPr>
        <w:t>Анализ текстовых статей проекта закона Амурской области «Об областном бюджете на 2018 год и плановый период 2019 и 2020 годов» (далее по тексту – законопроект) позволяет сделать вывод о том, что</w:t>
      </w:r>
      <w:r w:rsidRPr="00D75BCC">
        <w:rPr>
          <w:rFonts w:ascii="Times New Roman" w:hAnsi="Times New Roman"/>
          <w:bCs/>
          <w:sz w:val="24"/>
          <w:szCs w:val="24"/>
        </w:rPr>
        <w:t xml:space="preserve"> в законопроекте в применении норм действующего законодательства Российской Федерации и Амурской области имеются отдельные противоречия и несоответствия.</w:t>
      </w:r>
    </w:p>
    <w:p w:rsidR="00D75BCC" w:rsidRPr="00D75BCC" w:rsidRDefault="00D75BCC" w:rsidP="00D75BCC">
      <w:pPr>
        <w:pStyle w:val="ConsPlusNormal"/>
        <w:ind w:firstLine="709"/>
        <w:jc w:val="both"/>
      </w:pPr>
      <w:r w:rsidRPr="00D75BCC">
        <w:t>1. Текстовая часть статьи 6 законопроекта не соответствует наименованию приложения № 9.</w:t>
      </w:r>
    </w:p>
    <w:p w:rsidR="00D75BCC" w:rsidRPr="00D75BCC" w:rsidRDefault="00D75BCC" w:rsidP="00D75BCC">
      <w:pPr>
        <w:pStyle w:val="ConsPlusNormal"/>
        <w:ind w:firstLine="709"/>
        <w:jc w:val="both"/>
      </w:pPr>
      <w:r w:rsidRPr="00D75BCC">
        <w:t xml:space="preserve">Контрольно-счетная палата считает целесообразным изложить статью 6 законопроекта в следующей редакции: «Утвердить программу государственных внутренних заимствований Амурской области на 2018 год и плановый период 2019 и 2020 годов согласно приложению № 9 к настоящему Закону». </w:t>
      </w:r>
    </w:p>
    <w:p w:rsidR="00D75BCC" w:rsidRPr="00D75BCC" w:rsidRDefault="00D75BCC" w:rsidP="00D75BCC">
      <w:pPr>
        <w:pStyle w:val="ConsPlusNormal"/>
        <w:ind w:firstLine="709"/>
        <w:jc w:val="both"/>
      </w:pPr>
      <w:r>
        <w:t>2</w:t>
      </w:r>
      <w:r w:rsidRPr="00D75BCC">
        <w:t xml:space="preserve">. Частью 5 статьи 12 законопроекта утверждается распределение субсидий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 </w:t>
      </w:r>
      <w:r w:rsidRPr="00D75BCC">
        <w:rPr>
          <w:u w:val="single"/>
        </w:rPr>
        <w:t>на 2018 и на плановый период</w:t>
      </w:r>
      <w:r w:rsidRPr="00D75BCC">
        <w:t xml:space="preserve"> 2019 и 2020 годов согласно </w:t>
      </w:r>
      <w:hyperlink r:id="rId32" w:history="1">
        <w:r w:rsidRPr="00D75BCC">
          <w:t xml:space="preserve">приложению № </w:t>
        </w:r>
      </w:hyperlink>
      <w:r w:rsidRPr="00D75BCC">
        <w:t>28 к настоящему Закону.</w:t>
      </w:r>
    </w:p>
    <w:p w:rsidR="00D75BCC" w:rsidRPr="00D75BCC" w:rsidRDefault="00D75BCC" w:rsidP="00D75BCC">
      <w:pPr>
        <w:pStyle w:val="ConsPlusNormal"/>
        <w:ind w:firstLine="709"/>
        <w:jc w:val="both"/>
      </w:pPr>
      <w:r w:rsidRPr="00D75BCC">
        <w:t xml:space="preserve">При этом в наименовании приложения № 28 эти слова изложены иначе - </w:t>
      </w:r>
      <w:r w:rsidRPr="00D75BCC">
        <w:rPr>
          <w:b/>
          <w:u w:val="single"/>
        </w:rPr>
        <w:t xml:space="preserve"> </w:t>
      </w:r>
      <w:r w:rsidRPr="00D75BCC">
        <w:rPr>
          <w:u w:val="single"/>
        </w:rPr>
        <w:t>на 2018 год и плановый период</w:t>
      </w:r>
      <w:r w:rsidRPr="00D75BCC">
        <w:t>.</w:t>
      </w:r>
    </w:p>
    <w:p w:rsidR="00D75BCC" w:rsidRPr="00D75BCC" w:rsidRDefault="00D75BCC" w:rsidP="00D75BCC">
      <w:pPr>
        <w:pStyle w:val="ConsPlusNormal"/>
        <w:ind w:firstLine="709"/>
        <w:jc w:val="both"/>
        <w:rPr>
          <w:u w:val="single"/>
        </w:rPr>
      </w:pPr>
      <w:r w:rsidRPr="00D75BCC">
        <w:t xml:space="preserve">Частью 6 статьи 12 законопроекта утверждается на 2018 год и на плановый период 2019 и 2020 годов распределение субсидий бюджетам муниципальных образований на софинансирование расходов, связанных с развитием аппаратно-программного комплекса «Безопасный город» согласно </w:t>
      </w:r>
      <w:hyperlink r:id="rId33" w:history="1">
        <w:r w:rsidRPr="00D75BCC">
          <w:t xml:space="preserve">приложению № </w:t>
        </w:r>
      </w:hyperlink>
      <w:r w:rsidRPr="00D75BCC">
        <w:t>29 к настоящему Закону.</w:t>
      </w:r>
    </w:p>
    <w:p w:rsidR="00D75BCC" w:rsidRPr="00D75BCC" w:rsidRDefault="00D75BCC" w:rsidP="00D75BCC">
      <w:pPr>
        <w:pStyle w:val="ConsPlusNormal"/>
        <w:ind w:firstLine="709"/>
        <w:jc w:val="both"/>
      </w:pPr>
      <w:r w:rsidRPr="00D75BCC">
        <w:t xml:space="preserve">При этом в наименовании приложения № 29 предлог </w:t>
      </w:r>
      <w:r w:rsidRPr="00D75BCC">
        <w:rPr>
          <w:u w:val="single"/>
        </w:rPr>
        <w:t>«на»</w:t>
      </w:r>
      <w:r w:rsidRPr="00D75BCC">
        <w:t xml:space="preserve"> отсутствует.</w:t>
      </w:r>
    </w:p>
    <w:p w:rsidR="00D75BCC" w:rsidRPr="00D75BCC" w:rsidRDefault="00D75BCC" w:rsidP="00D75BCC">
      <w:pPr>
        <w:pStyle w:val="ConsPlusNormal"/>
        <w:ind w:firstLine="709"/>
        <w:jc w:val="both"/>
      </w:pPr>
      <w:r w:rsidRPr="00D75BCC">
        <w:t>Частью 11 статьи 12 законопроекта утверждается распределение между муниципальными образованиями дотации на стимулирование укрупнения муниципальных образований на 2018 – 2020 годы согласно приложению № 31 к настоящему Закону.</w:t>
      </w:r>
    </w:p>
    <w:p w:rsidR="00D75BCC" w:rsidRPr="00D75BCC" w:rsidRDefault="00D75BCC" w:rsidP="00D75BCC">
      <w:pPr>
        <w:pStyle w:val="ConsPlusNormal"/>
        <w:ind w:firstLine="709"/>
        <w:jc w:val="both"/>
      </w:pPr>
      <w:r w:rsidRPr="00D75BCC">
        <w:t>При этом наименование приложения № 31 иное – «Распределение дотаций на стимулирование укрупнения муниципальных образований на 2018 год и плановый период 2019-2020 годов».</w:t>
      </w:r>
    </w:p>
    <w:p w:rsidR="00D75BCC" w:rsidRPr="00D75BCC" w:rsidRDefault="00D75BCC" w:rsidP="00D75BCC">
      <w:pPr>
        <w:pStyle w:val="ConsPlusNormal"/>
        <w:ind w:firstLine="709"/>
        <w:jc w:val="both"/>
      </w:pPr>
      <w:r w:rsidRPr="00D75BCC">
        <w:t>Контрольно-счетная палата считает необходимым привести в соответствие вышеназванные текстовые нормы законопроекта с наименованием указанных приложений.</w:t>
      </w:r>
    </w:p>
    <w:p w:rsidR="00D75BCC" w:rsidRPr="00D75BCC" w:rsidRDefault="00D75BCC" w:rsidP="00D75B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w:t>
      </w:r>
      <w:r w:rsidRPr="00D75BCC">
        <w:rPr>
          <w:rFonts w:ascii="Times New Roman" w:hAnsi="Times New Roman"/>
          <w:sz w:val="24"/>
          <w:szCs w:val="24"/>
        </w:rPr>
        <w:t>. Согласно пункту 1 Методики распределения дотации на поддержку мер по обеспечению сбалансированности местных бюджетов (приложение  № 4 к Закону Амурской области от 11.10.2011 № 529-ОЗ «О межбюджетных отношениях в Амурской области») указанная дотация распределяется в два этапа: на первом этапе часть дотации распределяется исходя из оценки доходов и расходов бюджетов муниципальных образований на очередной финансовый год. Распределение между муниципальными районами (городскими округами) указанной части дотации утверждается законом области об областном бюджете на очередной финансовый год и плановый период.</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При этом в текстовой части законопроекта (часть 9 статьи 12) распределение данной дотации не утверждено, приложение к законопроекту, устанавливающее распределение дотаций на поддержку мер по обеспечению сбалансированности местных бюджетов на 2018 год и плановый период 2019 и 2020 годов, не представлено.</w:t>
      </w:r>
    </w:p>
    <w:p w:rsidR="00D75BCC" w:rsidRPr="00D75BCC" w:rsidRDefault="00D75BCC" w:rsidP="00D75B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4</w:t>
      </w:r>
      <w:r w:rsidRPr="00D75BCC">
        <w:rPr>
          <w:rFonts w:ascii="Times New Roman" w:hAnsi="Times New Roman"/>
          <w:sz w:val="24"/>
          <w:szCs w:val="24"/>
        </w:rPr>
        <w:t>. Статьей 13 законопроекта предусмотрено изменение условий реструктуризации задолженности городских округов и муниципальных районов по бюджетным кредитам перед областным бюджетам.</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Контрольно-счетная палата обращает внимание</w:t>
      </w:r>
      <w:r>
        <w:rPr>
          <w:rFonts w:ascii="Times New Roman" w:hAnsi="Times New Roman"/>
          <w:sz w:val="24"/>
          <w:szCs w:val="24"/>
        </w:rPr>
        <w:t>, что в</w:t>
      </w:r>
      <w:r w:rsidRPr="00D75BCC">
        <w:rPr>
          <w:rFonts w:ascii="Times New Roman" w:hAnsi="Times New Roman"/>
          <w:sz w:val="24"/>
          <w:szCs w:val="24"/>
        </w:rPr>
        <w:t xml:space="preserve"> данной статье применяется термин «реструктуризированная задолженность».</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 xml:space="preserve">При этом частями 1,2,3 указанной статьи устанавливается изменение условий реструктуризации задолженности, предусмотренной: подпунктом 2 пункта 3 статьи 13 Закона Амурской области от 16.12.2013 № 298-ОЗ «Об областном бюджете на 2014 год и </w:t>
      </w:r>
      <w:r w:rsidRPr="00D75BCC">
        <w:rPr>
          <w:rFonts w:ascii="Times New Roman" w:hAnsi="Times New Roman"/>
          <w:sz w:val="24"/>
          <w:szCs w:val="24"/>
        </w:rPr>
        <w:lastRenderedPageBreak/>
        <w:t>плановый период 2015 и 2016 годов», подпунктом 2 пункта 3 статьи 12</w:t>
      </w:r>
      <w:r w:rsidRPr="00D75BCC">
        <w:rPr>
          <w:rFonts w:ascii="Times New Roman" w:hAnsi="Times New Roman"/>
          <w:sz w:val="24"/>
          <w:szCs w:val="24"/>
          <w:vertAlign w:val="superscript"/>
        </w:rPr>
        <w:t>1</w:t>
      </w:r>
      <w:r w:rsidRPr="00D75BCC">
        <w:rPr>
          <w:rFonts w:ascii="Times New Roman" w:hAnsi="Times New Roman"/>
          <w:sz w:val="24"/>
          <w:szCs w:val="24"/>
        </w:rPr>
        <w:t xml:space="preserve"> Закона Амурской области от 10.12.2014 № 458-ОЗ «Об областном бюджете на 2015 год и плановый период 2016 и 2017 годов», подпунктом 2 пункта 3 статьи 11</w:t>
      </w:r>
      <w:r w:rsidRPr="00D75BCC">
        <w:rPr>
          <w:rFonts w:ascii="Times New Roman" w:hAnsi="Times New Roman"/>
          <w:sz w:val="24"/>
          <w:szCs w:val="24"/>
          <w:vertAlign w:val="superscript"/>
        </w:rPr>
        <w:t>1</w:t>
      </w:r>
      <w:r w:rsidRPr="00D75BCC">
        <w:rPr>
          <w:rFonts w:ascii="Times New Roman" w:hAnsi="Times New Roman"/>
          <w:sz w:val="24"/>
          <w:szCs w:val="24"/>
        </w:rPr>
        <w:t xml:space="preserve"> Закона Амурской области от 14.12.2015 № 619-ОЗ «Об областном бюджете на 2016 год».</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В вышеназванных нормах применяется иной термин -</w:t>
      </w:r>
      <w:r>
        <w:rPr>
          <w:rFonts w:ascii="Times New Roman" w:hAnsi="Times New Roman"/>
          <w:sz w:val="24"/>
          <w:szCs w:val="24"/>
        </w:rPr>
        <w:t xml:space="preserve"> </w:t>
      </w:r>
      <w:r w:rsidRPr="00D75BCC">
        <w:rPr>
          <w:rFonts w:ascii="Times New Roman" w:hAnsi="Times New Roman"/>
          <w:sz w:val="24"/>
          <w:szCs w:val="24"/>
        </w:rPr>
        <w:t>«реструктурированная задолженность». Кроме того в законопроекте имеется статья 14, предусматривающая реструктуризацию задолженности городских округов и муниципальных районов по бюджетным кредитам, предоставленным из областного бюджета в 2016 году на частичное покрытие дефицита местных бюджетов. В данной статье также применяется термин «реструктурированная задолженность».</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В целях единообразного подхода контрольно-счетная палата считает целесообразным по тексту статьи 13 законопроекта термин «реструктуризированная задолженность» заменить термином «реструктурированная задолженность» в соответствующем падеже.</w:t>
      </w:r>
    </w:p>
    <w:p w:rsidR="00D75BCC" w:rsidRPr="00D75BCC" w:rsidRDefault="00D75BCC" w:rsidP="00D75BCC">
      <w:pPr>
        <w:spacing w:after="0" w:line="240" w:lineRule="auto"/>
        <w:ind w:firstLine="709"/>
        <w:jc w:val="both"/>
        <w:outlineLvl w:val="0"/>
        <w:rPr>
          <w:rFonts w:ascii="Times New Roman" w:hAnsi="Times New Roman"/>
          <w:sz w:val="24"/>
          <w:szCs w:val="24"/>
        </w:rPr>
      </w:pPr>
      <w:r w:rsidRPr="00D75BCC">
        <w:rPr>
          <w:rFonts w:ascii="Times New Roman" w:hAnsi="Times New Roman"/>
          <w:sz w:val="24"/>
          <w:szCs w:val="24"/>
        </w:rPr>
        <w:t xml:space="preserve">Кроме того, </w:t>
      </w:r>
      <w:r>
        <w:rPr>
          <w:rFonts w:ascii="Times New Roman" w:hAnsi="Times New Roman"/>
          <w:sz w:val="24"/>
          <w:szCs w:val="24"/>
        </w:rPr>
        <w:t>считаем</w:t>
      </w:r>
      <w:r w:rsidRPr="00D75BCC">
        <w:rPr>
          <w:rFonts w:ascii="Times New Roman" w:hAnsi="Times New Roman"/>
          <w:sz w:val="24"/>
          <w:szCs w:val="24"/>
        </w:rPr>
        <w:t xml:space="preserve"> целесообразн</w:t>
      </w:r>
      <w:r>
        <w:rPr>
          <w:rFonts w:ascii="Times New Roman" w:hAnsi="Times New Roman"/>
          <w:sz w:val="24"/>
          <w:szCs w:val="24"/>
        </w:rPr>
        <w:t>ым</w:t>
      </w:r>
      <w:r w:rsidRPr="00D75BCC">
        <w:rPr>
          <w:rFonts w:ascii="Times New Roman" w:hAnsi="Times New Roman"/>
          <w:sz w:val="24"/>
          <w:szCs w:val="24"/>
        </w:rPr>
        <w:t xml:space="preserve"> в частях 1,2,3 статьи 13 законопроекта перед словами «на 01.01.2018» добавить слова «по состоянию».</w:t>
      </w:r>
    </w:p>
    <w:p w:rsidR="00D75BCC" w:rsidRPr="00D75BCC" w:rsidRDefault="00D75BCC" w:rsidP="00D75BCC">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75BCC">
        <w:rPr>
          <w:rFonts w:ascii="Times New Roman" w:hAnsi="Times New Roman"/>
          <w:sz w:val="24"/>
          <w:szCs w:val="24"/>
        </w:rPr>
        <w:t xml:space="preserve">. Наименование субсидии, предусмотренной пунктом 42 части 1 статьи 16 законопроекта не соответствует Подпрограмме «Развитие мелиорации сельскохозяйственных земель области»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2014 - 2020 годы», утвержденной постановлением Правительства Амурской области от 25.09.2013 № 447. </w:t>
      </w:r>
    </w:p>
    <w:p w:rsidR="00D75BCC" w:rsidRPr="00D75BCC" w:rsidRDefault="00D75BCC" w:rsidP="00D75B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6</w:t>
      </w:r>
      <w:r w:rsidRPr="00D75BCC">
        <w:rPr>
          <w:rFonts w:ascii="Times New Roman" w:hAnsi="Times New Roman"/>
          <w:sz w:val="24"/>
          <w:szCs w:val="24"/>
        </w:rPr>
        <w:t xml:space="preserve">. В статье 19 законопроекта имеется техническая ошибка – дважды указан 2018 год. </w:t>
      </w:r>
    </w:p>
    <w:p w:rsidR="00D75BCC" w:rsidRPr="006E3062" w:rsidRDefault="00D75BCC" w:rsidP="00D75BCC">
      <w:pPr>
        <w:pStyle w:val="ConsPlusNormal"/>
        <w:ind w:firstLine="709"/>
        <w:jc w:val="both"/>
      </w:pPr>
      <w:r>
        <w:t>7</w:t>
      </w:r>
      <w:r w:rsidRPr="00D75BCC">
        <w:t xml:space="preserve">. В соответствии с Предложениями о разработке нормативных правовых актов, принятие которых необходимо для реализации Закона Амурской области «Об областном бюджете на 2018 год и плановый период 2019 и 2020 годов», являющимися Приложением к законопроекту, принятие нормативных правовых актов области не требуется. Следует отметить, что для реализации данного закона необходимо принятие нормативных правовых актов Правительства Амурской области (постановлений, распоряжений): об утверждении распределения различных субсидий местным бюджетам, об утверждении правил, порядков </w:t>
      </w:r>
      <w:r w:rsidRPr="006E3062">
        <w:t>предоставления различных субсидий юридическим лицам, индивидуальным предпринимателям и физическим лицам и других нормативных правовых актов области.</w:t>
      </w:r>
    </w:p>
    <w:p w:rsidR="00D75BCC" w:rsidRPr="006E3062" w:rsidRDefault="00D75BCC" w:rsidP="00D75BCC">
      <w:pPr>
        <w:spacing w:after="0" w:line="240" w:lineRule="auto"/>
        <w:ind w:firstLine="709"/>
        <w:jc w:val="both"/>
        <w:rPr>
          <w:rFonts w:ascii="Times New Roman" w:hAnsi="Times New Roman"/>
          <w:b/>
          <w:sz w:val="24"/>
          <w:szCs w:val="24"/>
        </w:rPr>
      </w:pPr>
      <w:r w:rsidRPr="006E3062">
        <w:rPr>
          <w:rFonts w:ascii="Times New Roman" w:hAnsi="Times New Roman"/>
          <w:sz w:val="24"/>
          <w:szCs w:val="24"/>
        </w:rPr>
        <w:t xml:space="preserve">В соответствии с Перечнем законов и иных нормативных правовых актов, подлежащих отмене, изменению или дополнению в связи с принятием Закона Амурской области «Об областном бюджете на 2018 год и плановый период 2019 и 2020 годов», являющимся приложением к законопроекту, принятие и введение в действие проекта закона Амурской области «Об областном бюджете на 2018 год и плановый период 2019 и </w:t>
      </w:r>
      <w:r w:rsidRPr="006E3062">
        <w:rPr>
          <w:rFonts w:ascii="Times New Roman" w:hAnsi="Times New Roman"/>
          <w:sz w:val="24"/>
          <w:szCs w:val="24"/>
        </w:rPr>
        <w:br/>
        <w:t>2020 годов» не потребует отмены следующих нормативных правовых актов области.</w:t>
      </w:r>
      <w:r w:rsidR="006E3062" w:rsidRPr="006E3062">
        <w:rPr>
          <w:rFonts w:ascii="Times New Roman" w:hAnsi="Times New Roman"/>
          <w:sz w:val="24"/>
          <w:szCs w:val="24"/>
        </w:rPr>
        <w:t xml:space="preserve"> </w:t>
      </w:r>
      <w:r w:rsidRPr="006E3062">
        <w:rPr>
          <w:rFonts w:ascii="Times New Roman" w:hAnsi="Times New Roman"/>
          <w:sz w:val="24"/>
          <w:szCs w:val="24"/>
        </w:rPr>
        <w:t xml:space="preserve">Очевидно, что слово «следующих» является лишним. </w:t>
      </w:r>
    </w:p>
    <w:p w:rsidR="002359FD" w:rsidRDefault="002359FD" w:rsidP="002359FD">
      <w:pPr>
        <w:rPr>
          <w:rFonts w:ascii="Times New Roman" w:hAnsi="Times New Roman"/>
          <w:sz w:val="28"/>
          <w:szCs w:val="28"/>
        </w:rPr>
      </w:pPr>
    </w:p>
    <w:p w:rsidR="00984B55" w:rsidRPr="001A6362" w:rsidRDefault="00984B55" w:rsidP="00984B55">
      <w:pPr>
        <w:spacing w:after="0" w:line="240" w:lineRule="auto"/>
        <w:ind w:firstLine="680"/>
        <w:jc w:val="both"/>
        <w:outlineLvl w:val="0"/>
        <w:rPr>
          <w:rFonts w:ascii="Times New Roman" w:hAnsi="Times New Roman"/>
          <w:b/>
          <w:bCs/>
          <w:iCs/>
          <w:sz w:val="24"/>
          <w:szCs w:val="24"/>
        </w:rPr>
      </w:pPr>
      <w:r w:rsidRPr="00BA788F">
        <w:rPr>
          <w:rFonts w:ascii="Times New Roman" w:hAnsi="Times New Roman"/>
          <w:b/>
          <w:sz w:val="24"/>
          <w:szCs w:val="24"/>
        </w:rPr>
        <w:t xml:space="preserve">По результатам проведенной экспертизы проекта закона Амурской области </w:t>
      </w:r>
      <w:r w:rsidRPr="00BA788F">
        <w:rPr>
          <w:rFonts w:ascii="Times New Roman" w:hAnsi="Times New Roman"/>
          <w:b/>
          <w:sz w:val="24"/>
          <w:szCs w:val="24"/>
        </w:rPr>
        <w:br/>
        <w:t>«Об областном бюджете на 201</w:t>
      </w:r>
      <w:r>
        <w:rPr>
          <w:rFonts w:ascii="Times New Roman" w:hAnsi="Times New Roman"/>
          <w:b/>
          <w:sz w:val="24"/>
          <w:szCs w:val="24"/>
        </w:rPr>
        <w:t>8</w:t>
      </w:r>
      <w:r w:rsidRPr="00BA788F">
        <w:rPr>
          <w:rFonts w:ascii="Times New Roman" w:hAnsi="Times New Roman"/>
          <w:b/>
          <w:sz w:val="24"/>
          <w:szCs w:val="24"/>
        </w:rPr>
        <w:t xml:space="preserve"> год</w:t>
      </w:r>
      <w:r>
        <w:rPr>
          <w:rFonts w:ascii="Times New Roman" w:hAnsi="Times New Roman"/>
          <w:b/>
          <w:sz w:val="24"/>
          <w:szCs w:val="24"/>
        </w:rPr>
        <w:t xml:space="preserve"> и плановый период 2019 и 2020 годов</w:t>
      </w:r>
      <w:r w:rsidRPr="002F6C91">
        <w:rPr>
          <w:rFonts w:ascii="Times New Roman" w:hAnsi="Times New Roman"/>
          <w:b/>
          <w:sz w:val="24"/>
          <w:szCs w:val="24"/>
        </w:rPr>
        <w:t xml:space="preserve">» контрольно-счетная палата Амурской области предлагает </w:t>
      </w:r>
      <w:r w:rsidRPr="00130271">
        <w:rPr>
          <w:rFonts w:ascii="Times New Roman" w:hAnsi="Times New Roman"/>
          <w:b/>
          <w:sz w:val="24"/>
          <w:szCs w:val="24"/>
        </w:rPr>
        <w:t>Правительству Амурской об</w:t>
      </w:r>
      <w:r>
        <w:rPr>
          <w:rFonts w:ascii="Times New Roman" w:hAnsi="Times New Roman"/>
          <w:b/>
          <w:sz w:val="24"/>
          <w:szCs w:val="24"/>
        </w:rPr>
        <w:t>ласти:</w:t>
      </w:r>
    </w:p>
    <w:p w:rsidR="00574491" w:rsidRDefault="00574491" w:rsidP="00984B55">
      <w:pPr>
        <w:spacing w:after="0" w:line="240" w:lineRule="auto"/>
        <w:ind w:firstLine="680"/>
        <w:jc w:val="both"/>
        <w:outlineLvl w:val="0"/>
        <w:rPr>
          <w:rFonts w:ascii="Times New Roman" w:hAnsi="Times New Roman"/>
          <w:b/>
          <w:sz w:val="24"/>
          <w:szCs w:val="24"/>
        </w:rPr>
      </w:pPr>
    </w:p>
    <w:p w:rsidR="00984B55" w:rsidRDefault="00984B55" w:rsidP="00984B55">
      <w:pPr>
        <w:spacing w:after="0" w:line="240" w:lineRule="auto"/>
        <w:ind w:firstLine="680"/>
        <w:jc w:val="both"/>
        <w:outlineLvl w:val="0"/>
        <w:rPr>
          <w:rFonts w:ascii="Times New Roman" w:hAnsi="Times New Roman"/>
          <w:b/>
          <w:sz w:val="24"/>
          <w:szCs w:val="24"/>
        </w:rPr>
      </w:pPr>
      <w:r>
        <w:rPr>
          <w:rFonts w:ascii="Times New Roman" w:hAnsi="Times New Roman"/>
          <w:b/>
          <w:sz w:val="24"/>
          <w:szCs w:val="24"/>
        </w:rPr>
        <w:t xml:space="preserve">При </w:t>
      </w:r>
      <w:r w:rsidRPr="002F6C91">
        <w:rPr>
          <w:rFonts w:ascii="Times New Roman" w:hAnsi="Times New Roman"/>
          <w:b/>
          <w:sz w:val="24"/>
          <w:szCs w:val="24"/>
        </w:rPr>
        <w:t>подготовке законопроекта ко второму чтению:</w:t>
      </w:r>
    </w:p>
    <w:p w:rsidR="00984B55" w:rsidRPr="003670CB" w:rsidRDefault="00984B55" w:rsidP="00464D30">
      <w:pPr>
        <w:pStyle w:val="a4"/>
        <w:numPr>
          <w:ilvl w:val="3"/>
          <w:numId w:val="12"/>
        </w:numPr>
        <w:tabs>
          <w:tab w:val="left" w:pos="993"/>
        </w:tabs>
        <w:spacing w:after="0" w:line="240" w:lineRule="auto"/>
        <w:ind w:left="0" w:firstLine="709"/>
        <w:jc w:val="both"/>
        <w:rPr>
          <w:rFonts w:ascii="Times New Roman" w:hAnsi="Times New Roman"/>
          <w:sz w:val="24"/>
          <w:szCs w:val="24"/>
        </w:rPr>
      </w:pPr>
      <w:r w:rsidRPr="003670CB">
        <w:rPr>
          <w:rFonts w:ascii="Times New Roman" w:hAnsi="Times New Roman"/>
          <w:sz w:val="24"/>
          <w:szCs w:val="24"/>
        </w:rPr>
        <w:t>Привести объемы бюджетных ассигнований, предусмотренные в проекте областного бюджета на 2018 год и плановый период 2019 и 2020 годов на реализацию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в соответствие с объемом ассигнований, предусмотренны</w:t>
      </w:r>
      <w:r w:rsidR="00257E56">
        <w:rPr>
          <w:rFonts w:ascii="Times New Roman" w:hAnsi="Times New Roman"/>
          <w:sz w:val="24"/>
          <w:szCs w:val="24"/>
        </w:rPr>
        <w:t>м</w:t>
      </w:r>
      <w:r w:rsidRPr="003670CB">
        <w:rPr>
          <w:rFonts w:ascii="Times New Roman" w:hAnsi="Times New Roman"/>
          <w:sz w:val="24"/>
          <w:szCs w:val="24"/>
        </w:rPr>
        <w:t xml:space="preserve"> государственной программой.</w:t>
      </w:r>
    </w:p>
    <w:p w:rsidR="00984B55" w:rsidRPr="003670CB" w:rsidRDefault="00984B55" w:rsidP="00464D30">
      <w:pPr>
        <w:pStyle w:val="a4"/>
        <w:numPr>
          <w:ilvl w:val="0"/>
          <w:numId w:val="12"/>
        </w:numPr>
        <w:tabs>
          <w:tab w:val="left" w:pos="709"/>
          <w:tab w:val="left" w:pos="993"/>
        </w:tabs>
        <w:spacing w:after="0" w:line="240" w:lineRule="auto"/>
        <w:ind w:left="0" w:firstLine="709"/>
        <w:jc w:val="both"/>
        <w:rPr>
          <w:rFonts w:ascii="Times New Roman" w:hAnsi="Times New Roman"/>
          <w:sz w:val="24"/>
          <w:szCs w:val="24"/>
        </w:rPr>
      </w:pPr>
      <w:r w:rsidRPr="003670CB">
        <w:rPr>
          <w:rFonts w:ascii="Times New Roman" w:hAnsi="Times New Roman"/>
          <w:sz w:val="24"/>
          <w:szCs w:val="24"/>
        </w:rPr>
        <w:t xml:space="preserve">Привести объемы бюджетных ассигнований, отраженных в приложениях № 10 «Распределение бюджетных ассигнований по целевым статьям (государственным </w:t>
      </w:r>
      <w:r w:rsidRPr="003670CB">
        <w:rPr>
          <w:rFonts w:ascii="Times New Roman" w:hAnsi="Times New Roman"/>
          <w:sz w:val="24"/>
          <w:szCs w:val="24"/>
        </w:rPr>
        <w:lastRenderedPageBreak/>
        <w:t xml:space="preserve">программам и непрограммным направлениям деятельности), группам видов расходов классификации расходов областного бюджета на 2018 год и плановый период 2019 </w:t>
      </w:r>
      <w:r w:rsidR="00464D30">
        <w:rPr>
          <w:rFonts w:ascii="Times New Roman" w:hAnsi="Times New Roman"/>
          <w:sz w:val="24"/>
          <w:szCs w:val="24"/>
        </w:rPr>
        <w:br/>
      </w:r>
      <w:r w:rsidRPr="003670CB">
        <w:rPr>
          <w:rFonts w:ascii="Times New Roman" w:hAnsi="Times New Roman"/>
          <w:sz w:val="24"/>
          <w:szCs w:val="24"/>
        </w:rPr>
        <w:t>и 2020 годов» и № 11 «Ведомственная структура расходов областного бюджета на 2018 год и плановый период 2019 и 2020 годов», на выплату</w:t>
      </w:r>
      <w:r w:rsidRPr="00783F8D">
        <w:t xml:space="preserve"> </w:t>
      </w:r>
      <w:r w:rsidRPr="003670CB">
        <w:rPr>
          <w:rFonts w:ascii="Times New Roman" w:hAnsi="Times New Roman"/>
          <w:sz w:val="24"/>
          <w:szCs w:val="24"/>
        </w:rPr>
        <w:t>единовременных пособий и ежемесячных пособий молодым специалистам при поступлении на работу в сельскохозяйственную организацию либо областное государственное учреждение ветеринарии в соответствие с ассигнованиями, определенными при расчете публичных нормативных обязательств.</w:t>
      </w:r>
    </w:p>
    <w:p w:rsidR="00984B55" w:rsidRPr="007904DD" w:rsidRDefault="00984B55" w:rsidP="00464D30">
      <w:pPr>
        <w:pStyle w:val="a4"/>
        <w:numPr>
          <w:ilvl w:val="0"/>
          <w:numId w:val="12"/>
        </w:numPr>
        <w:tabs>
          <w:tab w:val="left" w:pos="709"/>
          <w:tab w:val="left" w:pos="993"/>
        </w:tabs>
        <w:spacing w:after="0" w:line="240" w:lineRule="auto"/>
        <w:ind w:left="0" w:firstLine="709"/>
        <w:jc w:val="both"/>
        <w:rPr>
          <w:rFonts w:ascii="Times New Roman" w:hAnsi="Times New Roman"/>
          <w:sz w:val="24"/>
          <w:szCs w:val="24"/>
        </w:rPr>
      </w:pPr>
      <w:r w:rsidRPr="003670CB">
        <w:rPr>
          <w:rFonts w:ascii="Times New Roman" w:hAnsi="Times New Roman"/>
          <w:sz w:val="24"/>
          <w:szCs w:val="24"/>
        </w:rPr>
        <w:t>В целях исключения рисков неисполнения перед гражданами области обязательств по исполнению публичных нормативных обязательств</w:t>
      </w:r>
      <w:r w:rsidR="00D90AB7">
        <w:rPr>
          <w:rFonts w:ascii="Times New Roman" w:hAnsi="Times New Roman"/>
          <w:sz w:val="24"/>
          <w:szCs w:val="24"/>
        </w:rPr>
        <w:t>,</w:t>
      </w:r>
      <w:r w:rsidRPr="003670CB">
        <w:rPr>
          <w:rFonts w:ascii="Times New Roman" w:hAnsi="Times New Roman"/>
          <w:sz w:val="24"/>
          <w:szCs w:val="24"/>
        </w:rPr>
        <w:t xml:space="preserve"> предусмотреть бюджетные ассигнования, направляемые на исполнение публичных нормативных обязательств, в объеме </w:t>
      </w:r>
      <w:r w:rsidRPr="007904DD">
        <w:rPr>
          <w:rFonts w:ascii="Times New Roman" w:hAnsi="Times New Roman"/>
          <w:sz w:val="24"/>
          <w:szCs w:val="24"/>
        </w:rPr>
        <w:t>расчетной потребности, скорректировав их с учетом замечаний, изложенных в заключении.</w:t>
      </w:r>
    </w:p>
    <w:p w:rsidR="00D90AB7" w:rsidRPr="007904DD" w:rsidRDefault="00D90AB7" w:rsidP="00464D30">
      <w:pPr>
        <w:pStyle w:val="a4"/>
        <w:numPr>
          <w:ilvl w:val="0"/>
          <w:numId w:val="12"/>
        </w:numPr>
        <w:tabs>
          <w:tab w:val="left" w:pos="709"/>
          <w:tab w:val="left" w:pos="993"/>
        </w:tabs>
        <w:spacing w:after="0" w:line="240" w:lineRule="auto"/>
        <w:ind w:left="0" w:firstLine="709"/>
        <w:jc w:val="both"/>
        <w:rPr>
          <w:rFonts w:ascii="Times New Roman" w:hAnsi="Times New Roman"/>
          <w:sz w:val="24"/>
          <w:szCs w:val="24"/>
        </w:rPr>
      </w:pPr>
      <w:r w:rsidRPr="007904DD">
        <w:rPr>
          <w:rFonts w:ascii="Times New Roman" w:hAnsi="Times New Roman"/>
          <w:sz w:val="24"/>
          <w:szCs w:val="24"/>
        </w:rPr>
        <w:t>Привести объемы бюджетных ассигнований</w:t>
      </w:r>
      <w:r w:rsidR="007904DD" w:rsidRPr="007904DD">
        <w:rPr>
          <w:rFonts w:ascii="Times New Roman" w:hAnsi="Times New Roman"/>
          <w:sz w:val="24"/>
          <w:szCs w:val="24"/>
        </w:rPr>
        <w:t xml:space="preserve"> на государственную поддержку семьи и детей на очередной финансовый год и плановый период, в части расходов министерства здравоохранения области и министерства культуры и архивного дела области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w:t>
      </w:r>
      <w:r w:rsidRPr="007904DD">
        <w:rPr>
          <w:rFonts w:ascii="Times New Roman" w:hAnsi="Times New Roman"/>
          <w:sz w:val="24"/>
          <w:szCs w:val="24"/>
        </w:rPr>
        <w:t>, отраженных в приложении № 12, в соответствие с ведомственной структурой расходов областного бюджета на 2018 год и плановый период 2019 и 2020 годов.</w:t>
      </w:r>
    </w:p>
    <w:p w:rsidR="00984B55" w:rsidRPr="003670CB" w:rsidRDefault="00984B55" w:rsidP="00464D30">
      <w:pPr>
        <w:pStyle w:val="a4"/>
        <w:numPr>
          <w:ilvl w:val="0"/>
          <w:numId w:val="12"/>
        </w:numPr>
        <w:tabs>
          <w:tab w:val="left" w:pos="709"/>
          <w:tab w:val="left" w:pos="993"/>
        </w:tabs>
        <w:spacing w:after="0" w:line="240" w:lineRule="auto"/>
        <w:ind w:left="0" w:firstLine="709"/>
        <w:jc w:val="both"/>
        <w:rPr>
          <w:rFonts w:ascii="Times New Roman" w:hAnsi="Times New Roman"/>
          <w:sz w:val="24"/>
          <w:szCs w:val="24"/>
        </w:rPr>
      </w:pPr>
      <w:r w:rsidRPr="003670CB">
        <w:rPr>
          <w:rFonts w:ascii="Times New Roman" w:hAnsi="Times New Roman"/>
          <w:sz w:val="24"/>
          <w:szCs w:val="24"/>
        </w:rPr>
        <w:t>Привести формат приложения № 11 «Ведомственная структура расходов областного бюджета на 2018 год и плановый период 2019 и 2020 годов» в соответствие с требованиями части 2 статьи 21 Бюджетного кодекса Российской Федерации.</w:t>
      </w:r>
    </w:p>
    <w:p w:rsidR="00984B55" w:rsidRPr="00841C96" w:rsidRDefault="00984B55" w:rsidP="00464D30">
      <w:pPr>
        <w:pStyle w:val="ConsPlusNormal"/>
        <w:numPr>
          <w:ilvl w:val="0"/>
          <w:numId w:val="12"/>
        </w:numPr>
        <w:tabs>
          <w:tab w:val="left" w:pos="993"/>
        </w:tabs>
        <w:ind w:left="0" w:firstLine="709"/>
        <w:jc w:val="both"/>
        <w:rPr>
          <w:sz w:val="28"/>
          <w:szCs w:val="28"/>
        </w:rPr>
      </w:pPr>
      <w:r w:rsidRPr="00984B55">
        <w:t xml:space="preserve">Уточнить объем средств бюджетных ассигнований по подпрограмме «Обеспечение реализации основных направлений государственной политики в сфере реализации государственной программы» Государственной программы «Развитие здравоохранения Амурской области на 2014-2020 годы» на обязательное медицинское страхование неработающего населения, направляемых в 2018 году и плановом периоде </w:t>
      </w:r>
      <w:r w:rsidR="007904DD">
        <w:br/>
      </w:r>
      <w:r w:rsidRPr="00984B55">
        <w:t>2019-2020 годов в виде межбюджетных трансфертов в бюджет Федерального фонда обязательного медицинского страхования</w:t>
      </w:r>
      <w:r w:rsidRPr="00841C96">
        <w:rPr>
          <w:sz w:val="28"/>
          <w:szCs w:val="28"/>
        </w:rPr>
        <w:t>.</w:t>
      </w:r>
    </w:p>
    <w:p w:rsidR="003670CB" w:rsidRPr="00960990" w:rsidRDefault="003670CB" w:rsidP="00464D30">
      <w:pPr>
        <w:pStyle w:val="ConsPlusNormal"/>
        <w:numPr>
          <w:ilvl w:val="0"/>
          <w:numId w:val="12"/>
        </w:numPr>
        <w:tabs>
          <w:tab w:val="left" w:pos="993"/>
        </w:tabs>
        <w:ind w:left="0" w:firstLine="709"/>
        <w:jc w:val="both"/>
        <w:rPr>
          <w:bCs/>
          <w:iCs/>
        </w:rPr>
      </w:pPr>
      <w:r w:rsidRPr="00EC1964">
        <w:t>В целях повышения качества планирования расходов областного</w:t>
      </w:r>
      <w:r w:rsidRPr="00960990">
        <w:t xml:space="preserve"> бюджета</w:t>
      </w:r>
      <w:r>
        <w:t xml:space="preserve"> п</w:t>
      </w:r>
      <w:r w:rsidRPr="00960990">
        <w:rPr>
          <w:bCs/>
          <w:iCs/>
        </w:rPr>
        <w:t>роанализировать объемы бюджетных средств</w:t>
      </w:r>
      <w:r>
        <w:rPr>
          <w:bCs/>
          <w:iCs/>
        </w:rPr>
        <w:t>, необходимых для</w:t>
      </w:r>
      <w:r w:rsidRPr="00960990">
        <w:rPr>
          <w:bCs/>
          <w:iCs/>
        </w:rPr>
        <w:t xml:space="preserve"> </w:t>
      </w:r>
      <w:r>
        <w:rPr>
          <w:bCs/>
          <w:iCs/>
        </w:rPr>
        <w:t xml:space="preserve">финансирования объектов капитального строительства государственной собственности области </w:t>
      </w:r>
      <w:r w:rsidRPr="00960990">
        <w:rPr>
          <w:bCs/>
          <w:iCs/>
        </w:rPr>
        <w:t>для определения реальной потребности</w:t>
      </w:r>
      <w:r>
        <w:rPr>
          <w:bCs/>
          <w:iCs/>
        </w:rPr>
        <w:t xml:space="preserve"> в средствах </w:t>
      </w:r>
      <w:r w:rsidRPr="00960990">
        <w:rPr>
          <w:bCs/>
          <w:iCs/>
        </w:rPr>
        <w:t xml:space="preserve">и возможности </w:t>
      </w:r>
      <w:r>
        <w:rPr>
          <w:bCs/>
          <w:iCs/>
        </w:rPr>
        <w:t>завершения строительства объектов в</w:t>
      </w:r>
      <w:r w:rsidRPr="003670CB">
        <w:rPr>
          <w:bCs/>
          <w:iCs/>
        </w:rPr>
        <w:t xml:space="preserve"> </w:t>
      </w:r>
      <w:r>
        <w:rPr>
          <w:bCs/>
          <w:iCs/>
        </w:rPr>
        <w:t>сроки, установленные государственными программами области</w:t>
      </w:r>
      <w:r w:rsidRPr="00960990">
        <w:rPr>
          <w:bCs/>
          <w:iCs/>
        </w:rPr>
        <w:t>.</w:t>
      </w:r>
    </w:p>
    <w:p w:rsidR="00984B55" w:rsidRPr="003670CB" w:rsidRDefault="00984B55" w:rsidP="00464D30">
      <w:pPr>
        <w:pStyle w:val="a4"/>
        <w:numPr>
          <w:ilvl w:val="0"/>
          <w:numId w:val="12"/>
        </w:numPr>
        <w:tabs>
          <w:tab w:val="left" w:pos="993"/>
        </w:tabs>
        <w:spacing w:after="0" w:line="240" w:lineRule="auto"/>
        <w:ind w:left="0" w:firstLine="709"/>
        <w:jc w:val="both"/>
        <w:rPr>
          <w:rFonts w:ascii="Times New Roman" w:hAnsi="Times New Roman"/>
          <w:sz w:val="24"/>
          <w:szCs w:val="24"/>
        </w:rPr>
      </w:pPr>
      <w:r w:rsidRPr="003670CB">
        <w:rPr>
          <w:rFonts w:ascii="Times New Roman" w:hAnsi="Times New Roman"/>
          <w:sz w:val="24"/>
          <w:szCs w:val="24"/>
        </w:rPr>
        <w:t>Внести изменения в текстовые статьи проекта закона «Об областном бюджете на 2018 год и плановый период 2019 и 2020 годов», в том числе:</w:t>
      </w:r>
    </w:p>
    <w:p w:rsidR="00984B55" w:rsidRPr="00D75BCC" w:rsidRDefault="00595926" w:rsidP="00984B55">
      <w:pPr>
        <w:pStyle w:val="ConsPlusNormal"/>
        <w:ind w:firstLine="709"/>
        <w:jc w:val="both"/>
      </w:pPr>
      <w:r>
        <w:rPr>
          <w:b/>
        </w:rPr>
        <w:t>8</w:t>
      </w:r>
      <w:r w:rsidR="007904DD" w:rsidRPr="00574491">
        <w:rPr>
          <w:b/>
        </w:rPr>
        <w:t>.</w:t>
      </w:r>
      <w:r w:rsidR="00984B55" w:rsidRPr="00574491">
        <w:rPr>
          <w:b/>
        </w:rPr>
        <w:t>1.</w:t>
      </w:r>
      <w:r w:rsidR="00984B55" w:rsidRPr="00D75BCC">
        <w:t xml:space="preserve"> Статью 6 законопроекта изложить в следующей редакции: «Утвердить программу государственных внутренних заимствований Амурской области на 2018 год и плановый период 2019 и 2020 годов согласно прило</w:t>
      </w:r>
      <w:r w:rsidR="00464D30">
        <w:t>жению № 9 к настоящему Закону».</w:t>
      </w:r>
    </w:p>
    <w:p w:rsidR="003670CB" w:rsidRDefault="00595926" w:rsidP="003670CB">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8</w:t>
      </w:r>
      <w:r w:rsidR="007904DD" w:rsidRPr="00574491">
        <w:rPr>
          <w:rFonts w:ascii="Times New Roman" w:hAnsi="Times New Roman"/>
          <w:b/>
          <w:sz w:val="24"/>
          <w:szCs w:val="24"/>
        </w:rPr>
        <w:t>.</w:t>
      </w:r>
      <w:r w:rsidR="00984B55" w:rsidRPr="00574491">
        <w:rPr>
          <w:rFonts w:ascii="Times New Roman" w:hAnsi="Times New Roman"/>
          <w:b/>
          <w:sz w:val="24"/>
          <w:szCs w:val="24"/>
        </w:rPr>
        <w:t>2.</w:t>
      </w:r>
      <w:r w:rsidR="00984B55" w:rsidRPr="00D75BCC">
        <w:rPr>
          <w:rFonts w:ascii="Times New Roman" w:hAnsi="Times New Roman"/>
          <w:sz w:val="24"/>
          <w:szCs w:val="24"/>
        </w:rPr>
        <w:t xml:space="preserve"> Исключить из законопроекта</w:t>
      </w:r>
      <w:r w:rsidR="003670CB" w:rsidRPr="003670CB">
        <w:rPr>
          <w:rFonts w:ascii="Times New Roman" w:hAnsi="Times New Roman"/>
          <w:sz w:val="24"/>
          <w:szCs w:val="24"/>
        </w:rPr>
        <w:t xml:space="preserve"> </w:t>
      </w:r>
      <w:r w:rsidR="003670CB" w:rsidRPr="00D75BCC">
        <w:rPr>
          <w:rFonts w:ascii="Times New Roman" w:hAnsi="Times New Roman"/>
          <w:sz w:val="24"/>
          <w:szCs w:val="24"/>
        </w:rPr>
        <w:t>часть 4 статьи 9</w:t>
      </w:r>
      <w:r w:rsidR="003670CB">
        <w:rPr>
          <w:rFonts w:ascii="Times New Roman" w:hAnsi="Times New Roman"/>
          <w:sz w:val="24"/>
          <w:szCs w:val="24"/>
        </w:rPr>
        <w:t>,</w:t>
      </w:r>
      <w:r w:rsidR="003670CB" w:rsidRPr="00D75BCC">
        <w:rPr>
          <w:rFonts w:ascii="Times New Roman" w:hAnsi="Times New Roman"/>
          <w:sz w:val="24"/>
          <w:szCs w:val="24"/>
        </w:rPr>
        <w:t xml:space="preserve"> </w:t>
      </w:r>
      <w:r w:rsidR="003670CB" w:rsidRPr="00D25FF8">
        <w:rPr>
          <w:rFonts w:ascii="Times New Roman" w:hAnsi="Times New Roman"/>
          <w:sz w:val="24"/>
          <w:szCs w:val="24"/>
        </w:rPr>
        <w:t>устанавливающ</w:t>
      </w:r>
      <w:r w:rsidR="003670CB">
        <w:rPr>
          <w:rFonts w:ascii="Times New Roman" w:hAnsi="Times New Roman"/>
          <w:sz w:val="24"/>
          <w:szCs w:val="24"/>
        </w:rPr>
        <w:t>ую</w:t>
      </w:r>
      <w:r w:rsidR="003670CB" w:rsidRPr="00D25FF8">
        <w:rPr>
          <w:rFonts w:ascii="Times New Roman" w:hAnsi="Times New Roman"/>
          <w:sz w:val="24"/>
          <w:szCs w:val="24"/>
        </w:rPr>
        <w:t xml:space="preserve"> объем условно утверждаемы</w:t>
      </w:r>
      <w:r w:rsidR="003670CB">
        <w:rPr>
          <w:rFonts w:ascii="Times New Roman" w:hAnsi="Times New Roman"/>
          <w:sz w:val="24"/>
          <w:szCs w:val="24"/>
        </w:rPr>
        <w:t>х</w:t>
      </w:r>
      <w:r w:rsidR="003670CB" w:rsidRPr="00D25FF8">
        <w:rPr>
          <w:rFonts w:ascii="Times New Roman" w:hAnsi="Times New Roman"/>
          <w:sz w:val="24"/>
          <w:szCs w:val="24"/>
        </w:rPr>
        <w:t xml:space="preserve"> расходов</w:t>
      </w:r>
      <w:r w:rsidR="003670CB">
        <w:rPr>
          <w:rFonts w:ascii="Times New Roman" w:hAnsi="Times New Roman"/>
          <w:sz w:val="24"/>
          <w:szCs w:val="24"/>
        </w:rPr>
        <w:t>.</w:t>
      </w:r>
    </w:p>
    <w:p w:rsidR="00984B55" w:rsidRPr="00D75BCC" w:rsidRDefault="00595926" w:rsidP="00984B55">
      <w:pPr>
        <w:spacing w:after="0" w:line="240" w:lineRule="auto"/>
        <w:ind w:firstLine="709"/>
        <w:jc w:val="both"/>
        <w:rPr>
          <w:rFonts w:ascii="Times New Roman" w:hAnsi="Times New Roman"/>
          <w:sz w:val="24"/>
          <w:szCs w:val="24"/>
        </w:rPr>
      </w:pPr>
      <w:r>
        <w:rPr>
          <w:rFonts w:ascii="Times New Roman" w:hAnsi="Times New Roman"/>
          <w:b/>
          <w:sz w:val="24"/>
          <w:szCs w:val="24"/>
        </w:rPr>
        <w:t>8</w:t>
      </w:r>
      <w:r w:rsidR="007904DD" w:rsidRPr="00574491">
        <w:rPr>
          <w:rFonts w:ascii="Times New Roman" w:hAnsi="Times New Roman"/>
          <w:b/>
          <w:sz w:val="24"/>
          <w:szCs w:val="24"/>
        </w:rPr>
        <w:t>.</w:t>
      </w:r>
      <w:r w:rsidR="00984B55" w:rsidRPr="00574491">
        <w:rPr>
          <w:rFonts w:ascii="Times New Roman" w:hAnsi="Times New Roman"/>
          <w:b/>
          <w:sz w:val="24"/>
          <w:szCs w:val="24"/>
        </w:rPr>
        <w:t>3.</w:t>
      </w:r>
      <w:r w:rsidR="00984B55" w:rsidRPr="00D75BCC">
        <w:rPr>
          <w:rFonts w:ascii="Times New Roman" w:hAnsi="Times New Roman"/>
          <w:sz w:val="24"/>
          <w:szCs w:val="24"/>
        </w:rPr>
        <w:t xml:space="preserve"> Часть 5 статьи 9 считать частью 4 статьи 9.</w:t>
      </w:r>
    </w:p>
    <w:p w:rsidR="00984B55" w:rsidRPr="00D75BCC" w:rsidRDefault="00595926" w:rsidP="00984B55">
      <w:pPr>
        <w:spacing w:after="0" w:line="240" w:lineRule="auto"/>
        <w:ind w:firstLine="709"/>
        <w:jc w:val="both"/>
        <w:rPr>
          <w:rFonts w:ascii="Times New Roman" w:hAnsi="Times New Roman"/>
          <w:sz w:val="24"/>
          <w:szCs w:val="24"/>
        </w:rPr>
      </w:pPr>
      <w:r>
        <w:rPr>
          <w:rFonts w:ascii="Times New Roman" w:hAnsi="Times New Roman"/>
          <w:b/>
          <w:sz w:val="24"/>
          <w:szCs w:val="24"/>
        </w:rPr>
        <w:t>8</w:t>
      </w:r>
      <w:r w:rsidR="007904DD" w:rsidRPr="00574491">
        <w:rPr>
          <w:rFonts w:ascii="Times New Roman" w:hAnsi="Times New Roman"/>
          <w:b/>
          <w:sz w:val="24"/>
          <w:szCs w:val="24"/>
        </w:rPr>
        <w:t>.</w:t>
      </w:r>
      <w:r w:rsidR="00984B55" w:rsidRPr="00574491">
        <w:rPr>
          <w:rFonts w:ascii="Times New Roman" w:hAnsi="Times New Roman"/>
          <w:b/>
          <w:sz w:val="24"/>
          <w:szCs w:val="24"/>
        </w:rPr>
        <w:t>4.</w:t>
      </w:r>
      <w:r w:rsidR="00984B55" w:rsidRPr="00D75BCC">
        <w:rPr>
          <w:rFonts w:ascii="Times New Roman" w:hAnsi="Times New Roman"/>
          <w:sz w:val="24"/>
          <w:szCs w:val="24"/>
        </w:rPr>
        <w:t xml:space="preserve"> В статье 12 законопроекта:</w:t>
      </w:r>
    </w:p>
    <w:p w:rsidR="00984B55" w:rsidRPr="00D75BCC" w:rsidRDefault="00984B55" w:rsidP="00574491">
      <w:pPr>
        <w:pStyle w:val="ConsPlusNormal"/>
        <w:numPr>
          <w:ilvl w:val="0"/>
          <w:numId w:val="16"/>
        </w:numPr>
        <w:tabs>
          <w:tab w:val="left" w:pos="851"/>
        </w:tabs>
        <w:ind w:left="0" w:firstLine="709"/>
        <w:jc w:val="both"/>
      </w:pPr>
      <w:r w:rsidRPr="00D75BCC">
        <w:t>в части 5 слова «на 2018 и на плановый период» заменить словами «на 2018 год и плановый период»;</w:t>
      </w:r>
    </w:p>
    <w:p w:rsidR="00984B55" w:rsidRPr="00574491" w:rsidRDefault="00984B55" w:rsidP="00574491">
      <w:pPr>
        <w:pStyle w:val="a4"/>
        <w:numPr>
          <w:ilvl w:val="0"/>
          <w:numId w:val="16"/>
        </w:numPr>
        <w:tabs>
          <w:tab w:val="left" w:pos="851"/>
        </w:tabs>
        <w:spacing w:after="0" w:line="240" w:lineRule="auto"/>
        <w:ind w:left="0" w:firstLine="709"/>
        <w:jc w:val="both"/>
        <w:rPr>
          <w:rFonts w:ascii="Times New Roman" w:hAnsi="Times New Roman"/>
          <w:sz w:val="24"/>
          <w:szCs w:val="24"/>
        </w:rPr>
      </w:pPr>
      <w:r w:rsidRPr="00574491">
        <w:rPr>
          <w:rFonts w:ascii="Times New Roman" w:hAnsi="Times New Roman"/>
          <w:sz w:val="24"/>
          <w:szCs w:val="24"/>
        </w:rPr>
        <w:t>в части 6 после слов «на 2018 год и» предлог «на» исключить;</w:t>
      </w:r>
    </w:p>
    <w:p w:rsidR="00984B55" w:rsidRPr="00574491" w:rsidRDefault="00984B55" w:rsidP="00574491">
      <w:pPr>
        <w:pStyle w:val="a4"/>
        <w:numPr>
          <w:ilvl w:val="0"/>
          <w:numId w:val="16"/>
        </w:numPr>
        <w:tabs>
          <w:tab w:val="left" w:pos="851"/>
        </w:tabs>
        <w:spacing w:after="0" w:line="240" w:lineRule="auto"/>
        <w:ind w:left="0" w:firstLine="709"/>
        <w:jc w:val="both"/>
        <w:rPr>
          <w:rFonts w:ascii="Times New Roman" w:hAnsi="Times New Roman"/>
          <w:sz w:val="24"/>
          <w:szCs w:val="24"/>
        </w:rPr>
      </w:pPr>
      <w:r w:rsidRPr="00574491">
        <w:rPr>
          <w:rFonts w:ascii="Times New Roman" w:hAnsi="Times New Roman"/>
          <w:sz w:val="24"/>
          <w:szCs w:val="24"/>
        </w:rPr>
        <w:t xml:space="preserve">часть 9 дополнить абзацем следующего содержания: «Утвердить распределение между муниципальными районами и городскими округами части дотации на поддержку мер по обеспечению сбалансированности местных бюджетов на 2018 год и плановый период 2019 и 2020 годов согласно </w:t>
      </w:r>
      <w:hyperlink r:id="rId34" w:history="1">
        <w:r w:rsidRPr="00574491">
          <w:rPr>
            <w:rFonts w:ascii="Times New Roman" w:hAnsi="Times New Roman"/>
            <w:sz w:val="24"/>
            <w:szCs w:val="24"/>
          </w:rPr>
          <w:t xml:space="preserve">приложению </w:t>
        </w:r>
      </w:hyperlink>
      <w:r w:rsidRPr="00574491">
        <w:rPr>
          <w:rFonts w:ascii="Times New Roman" w:hAnsi="Times New Roman"/>
          <w:sz w:val="24"/>
          <w:szCs w:val="24"/>
        </w:rPr>
        <w:t>№ ___ к настоящему Закону»</w:t>
      </w:r>
      <w:r w:rsidR="00464D30">
        <w:rPr>
          <w:rFonts w:ascii="Times New Roman" w:hAnsi="Times New Roman"/>
          <w:sz w:val="24"/>
          <w:szCs w:val="24"/>
        </w:rPr>
        <w:t>;</w:t>
      </w:r>
    </w:p>
    <w:p w:rsidR="00984B55" w:rsidRPr="00D75BCC" w:rsidRDefault="00984B55" w:rsidP="00574491">
      <w:pPr>
        <w:pStyle w:val="ConsPlusNormal"/>
        <w:numPr>
          <w:ilvl w:val="0"/>
          <w:numId w:val="16"/>
        </w:numPr>
        <w:tabs>
          <w:tab w:val="left" w:pos="851"/>
        </w:tabs>
        <w:ind w:left="0" w:firstLine="709"/>
        <w:jc w:val="both"/>
      </w:pPr>
      <w:r w:rsidRPr="00D75BCC">
        <w:t>второй абзац части 11 изложить в следующей редакции: «Утвердить распределение дотаций на стимулирование укрупнения муниципальных образований на 2018 год и плановый период 2019-2020 годов» согласно прило</w:t>
      </w:r>
      <w:r w:rsidR="00464D30">
        <w:t>жению № 31 к настоящему Закону».</w:t>
      </w:r>
    </w:p>
    <w:p w:rsidR="00984B55" w:rsidRPr="00D75BCC" w:rsidRDefault="00595926" w:rsidP="00984B55">
      <w:pPr>
        <w:spacing w:after="0" w:line="240" w:lineRule="auto"/>
        <w:ind w:firstLine="709"/>
        <w:jc w:val="both"/>
        <w:outlineLvl w:val="0"/>
        <w:rPr>
          <w:rFonts w:ascii="Times New Roman" w:hAnsi="Times New Roman"/>
          <w:sz w:val="24"/>
          <w:szCs w:val="24"/>
        </w:rPr>
      </w:pPr>
      <w:r>
        <w:rPr>
          <w:rFonts w:ascii="Times New Roman" w:hAnsi="Times New Roman"/>
          <w:b/>
          <w:sz w:val="24"/>
          <w:szCs w:val="24"/>
        </w:rPr>
        <w:lastRenderedPageBreak/>
        <w:t>8</w:t>
      </w:r>
      <w:r w:rsidR="007904DD" w:rsidRPr="00574491">
        <w:rPr>
          <w:rFonts w:ascii="Times New Roman" w:hAnsi="Times New Roman"/>
          <w:b/>
          <w:sz w:val="24"/>
          <w:szCs w:val="24"/>
        </w:rPr>
        <w:t>.</w:t>
      </w:r>
      <w:r w:rsidR="00984B55" w:rsidRPr="00574491">
        <w:rPr>
          <w:rFonts w:ascii="Times New Roman" w:hAnsi="Times New Roman"/>
          <w:b/>
          <w:sz w:val="24"/>
          <w:szCs w:val="24"/>
        </w:rPr>
        <w:t>5.</w:t>
      </w:r>
      <w:r w:rsidR="00984B55" w:rsidRPr="00D75BCC">
        <w:rPr>
          <w:rFonts w:ascii="Times New Roman" w:hAnsi="Times New Roman"/>
          <w:sz w:val="24"/>
          <w:szCs w:val="24"/>
        </w:rPr>
        <w:t xml:space="preserve"> В статье 13:</w:t>
      </w:r>
    </w:p>
    <w:p w:rsidR="00984B55" w:rsidRPr="00C93094" w:rsidRDefault="00984B55" w:rsidP="00C93094">
      <w:pPr>
        <w:pStyle w:val="a4"/>
        <w:numPr>
          <w:ilvl w:val="0"/>
          <w:numId w:val="17"/>
        </w:numPr>
        <w:tabs>
          <w:tab w:val="left" w:pos="1134"/>
        </w:tabs>
        <w:spacing w:after="0" w:line="240" w:lineRule="auto"/>
        <w:ind w:left="0" w:firstLine="709"/>
        <w:jc w:val="both"/>
        <w:outlineLvl w:val="0"/>
        <w:rPr>
          <w:rFonts w:ascii="Times New Roman" w:hAnsi="Times New Roman"/>
          <w:sz w:val="24"/>
          <w:szCs w:val="24"/>
        </w:rPr>
      </w:pPr>
      <w:r w:rsidRPr="00C93094">
        <w:rPr>
          <w:rFonts w:ascii="Times New Roman" w:hAnsi="Times New Roman"/>
          <w:sz w:val="24"/>
          <w:szCs w:val="24"/>
        </w:rPr>
        <w:t>слово «реструктуризированной» заменить словом «реструктурированной»;</w:t>
      </w:r>
    </w:p>
    <w:p w:rsidR="00984B55" w:rsidRPr="00C93094" w:rsidRDefault="00984B55" w:rsidP="00C93094">
      <w:pPr>
        <w:pStyle w:val="a4"/>
        <w:numPr>
          <w:ilvl w:val="0"/>
          <w:numId w:val="17"/>
        </w:numPr>
        <w:tabs>
          <w:tab w:val="left" w:pos="1134"/>
        </w:tabs>
        <w:spacing w:after="0" w:line="240" w:lineRule="auto"/>
        <w:ind w:left="0" w:firstLine="709"/>
        <w:jc w:val="both"/>
        <w:outlineLvl w:val="0"/>
        <w:rPr>
          <w:rFonts w:ascii="Times New Roman" w:hAnsi="Times New Roman"/>
          <w:sz w:val="24"/>
          <w:szCs w:val="24"/>
        </w:rPr>
      </w:pPr>
      <w:r w:rsidRPr="00C93094">
        <w:rPr>
          <w:rFonts w:ascii="Times New Roman" w:hAnsi="Times New Roman"/>
          <w:sz w:val="24"/>
          <w:szCs w:val="24"/>
        </w:rPr>
        <w:t>перед словами «на 01.01.2018» добавить слова «по состоянию».</w:t>
      </w:r>
    </w:p>
    <w:p w:rsidR="00984B55" w:rsidRPr="00D75BCC" w:rsidRDefault="00595926" w:rsidP="00984B55">
      <w:pPr>
        <w:spacing w:after="0" w:line="240" w:lineRule="auto"/>
        <w:ind w:firstLine="709"/>
        <w:jc w:val="both"/>
        <w:rPr>
          <w:rFonts w:ascii="Times New Roman" w:hAnsi="Times New Roman"/>
          <w:sz w:val="24"/>
          <w:szCs w:val="24"/>
        </w:rPr>
      </w:pPr>
      <w:r>
        <w:rPr>
          <w:rFonts w:ascii="Times New Roman" w:hAnsi="Times New Roman"/>
          <w:b/>
          <w:sz w:val="24"/>
          <w:szCs w:val="24"/>
        </w:rPr>
        <w:t>8</w:t>
      </w:r>
      <w:r w:rsidR="007904DD" w:rsidRPr="00574491">
        <w:rPr>
          <w:rFonts w:ascii="Times New Roman" w:hAnsi="Times New Roman"/>
          <w:b/>
          <w:sz w:val="24"/>
          <w:szCs w:val="24"/>
        </w:rPr>
        <w:t>.</w:t>
      </w:r>
      <w:r w:rsidR="00984B55" w:rsidRPr="00574491">
        <w:rPr>
          <w:rFonts w:ascii="Times New Roman" w:hAnsi="Times New Roman"/>
          <w:b/>
          <w:sz w:val="24"/>
          <w:szCs w:val="24"/>
        </w:rPr>
        <w:t>6.</w:t>
      </w:r>
      <w:r w:rsidR="00984B55" w:rsidRPr="00D75BCC">
        <w:rPr>
          <w:rFonts w:ascii="Times New Roman" w:hAnsi="Times New Roman"/>
          <w:sz w:val="24"/>
          <w:szCs w:val="24"/>
        </w:rPr>
        <w:t xml:space="preserve"> В пункте 42 части 1 статьи 16 после слова «принадлежащих» добавить слова «сельскохозяйственным товаропроизводителям» после слова «п</w:t>
      </w:r>
      <w:r w:rsidR="00C93094">
        <w:rPr>
          <w:rFonts w:ascii="Times New Roman" w:hAnsi="Times New Roman"/>
          <w:sz w:val="24"/>
          <w:szCs w:val="24"/>
        </w:rPr>
        <w:t>ереданных» добавить слово «им».</w:t>
      </w:r>
    </w:p>
    <w:p w:rsidR="00984B55" w:rsidRPr="00D75BCC" w:rsidRDefault="00595926" w:rsidP="00984B55">
      <w:pPr>
        <w:spacing w:after="0" w:line="240" w:lineRule="auto"/>
        <w:ind w:firstLine="709"/>
        <w:jc w:val="both"/>
        <w:rPr>
          <w:rFonts w:ascii="Times New Roman" w:hAnsi="Times New Roman"/>
          <w:sz w:val="24"/>
          <w:szCs w:val="24"/>
        </w:rPr>
      </w:pPr>
      <w:r>
        <w:rPr>
          <w:rFonts w:ascii="Times New Roman" w:hAnsi="Times New Roman"/>
          <w:b/>
          <w:sz w:val="24"/>
          <w:szCs w:val="24"/>
        </w:rPr>
        <w:t>8</w:t>
      </w:r>
      <w:r w:rsidR="007904DD" w:rsidRPr="00574491">
        <w:rPr>
          <w:rFonts w:ascii="Times New Roman" w:hAnsi="Times New Roman"/>
          <w:b/>
          <w:sz w:val="24"/>
          <w:szCs w:val="24"/>
        </w:rPr>
        <w:t>.</w:t>
      </w:r>
      <w:r w:rsidR="00984B55" w:rsidRPr="00574491">
        <w:rPr>
          <w:rFonts w:ascii="Times New Roman" w:hAnsi="Times New Roman"/>
          <w:b/>
          <w:sz w:val="24"/>
          <w:szCs w:val="24"/>
        </w:rPr>
        <w:t>7.</w:t>
      </w:r>
      <w:r w:rsidR="00984B55" w:rsidRPr="00D75BCC">
        <w:rPr>
          <w:rFonts w:ascii="Times New Roman" w:hAnsi="Times New Roman"/>
          <w:sz w:val="24"/>
          <w:szCs w:val="24"/>
        </w:rPr>
        <w:t xml:space="preserve"> Статью 19 законопроекта</w:t>
      </w:r>
      <w:r w:rsidR="00C93094">
        <w:rPr>
          <w:rFonts w:ascii="Times New Roman" w:hAnsi="Times New Roman"/>
          <w:sz w:val="24"/>
          <w:szCs w:val="24"/>
        </w:rPr>
        <w:t xml:space="preserve"> изложить в следующей редакции:</w:t>
      </w:r>
    </w:p>
    <w:p w:rsidR="00984B55" w:rsidRPr="00D75BCC" w:rsidRDefault="00984B55" w:rsidP="00984B55">
      <w:pPr>
        <w:spacing w:after="0" w:line="240" w:lineRule="auto"/>
        <w:ind w:firstLine="709"/>
        <w:jc w:val="both"/>
        <w:rPr>
          <w:rFonts w:ascii="Times New Roman" w:hAnsi="Times New Roman"/>
          <w:sz w:val="24"/>
          <w:szCs w:val="24"/>
        </w:rPr>
      </w:pPr>
      <w:r w:rsidRPr="00D75BCC">
        <w:rPr>
          <w:rFonts w:ascii="Times New Roman" w:hAnsi="Times New Roman"/>
          <w:sz w:val="24"/>
          <w:szCs w:val="24"/>
        </w:rPr>
        <w:t>«Утвердить объем бюджетных ассигнований дорожного фонда Амурской области на 2018 год в сумме 3353761,1 тыс.</w:t>
      </w:r>
      <w:r w:rsidR="001944F7">
        <w:rPr>
          <w:rFonts w:ascii="Times New Roman" w:hAnsi="Times New Roman"/>
          <w:sz w:val="24"/>
          <w:szCs w:val="24"/>
        </w:rPr>
        <w:t xml:space="preserve"> </w:t>
      </w:r>
      <w:r w:rsidRPr="00D75BCC">
        <w:rPr>
          <w:rFonts w:ascii="Times New Roman" w:hAnsi="Times New Roman"/>
          <w:sz w:val="24"/>
          <w:szCs w:val="24"/>
        </w:rPr>
        <w:t>рублей, на 2019 год в сумме 3103482,4 тыс.</w:t>
      </w:r>
      <w:r w:rsidR="001944F7">
        <w:rPr>
          <w:rFonts w:ascii="Times New Roman" w:hAnsi="Times New Roman"/>
          <w:sz w:val="24"/>
          <w:szCs w:val="24"/>
        </w:rPr>
        <w:t xml:space="preserve"> </w:t>
      </w:r>
      <w:r w:rsidRPr="00D75BCC">
        <w:rPr>
          <w:rFonts w:ascii="Times New Roman" w:hAnsi="Times New Roman"/>
          <w:sz w:val="24"/>
          <w:szCs w:val="24"/>
        </w:rPr>
        <w:t xml:space="preserve">рублей, </w:t>
      </w:r>
      <w:r w:rsidR="007904DD">
        <w:rPr>
          <w:rFonts w:ascii="Times New Roman" w:hAnsi="Times New Roman"/>
          <w:sz w:val="24"/>
          <w:szCs w:val="24"/>
        </w:rPr>
        <w:br/>
      </w:r>
      <w:r w:rsidRPr="00D75BCC">
        <w:rPr>
          <w:rFonts w:ascii="Times New Roman" w:hAnsi="Times New Roman"/>
          <w:sz w:val="24"/>
          <w:szCs w:val="24"/>
        </w:rPr>
        <w:t>на 2020 год в сумме 3111223,6 тыс.</w:t>
      </w:r>
      <w:r w:rsidR="00772277">
        <w:rPr>
          <w:rFonts w:ascii="Times New Roman" w:hAnsi="Times New Roman"/>
          <w:sz w:val="24"/>
          <w:szCs w:val="24"/>
        </w:rPr>
        <w:t xml:space="preserve"> </w:t>
      </w:r>
      <w:r w:rsidRPr="00D75BCC">
        <w:rPr>
          <w:rFonts w:ascii="Times New Roman" w:hAnsi="Times New Roman"/>
          <w:sz w:val="24"/>
          <w:szCs w:val="24"/>
        </w:rPr>
        <w:t>рублей».</w:t>
      </w:r>
    </w:p>
    <w:p w:rsidR="00772277" w:rsidRDefault="00772277" w:rsidP="007904DD">
      <w:pPr>
        <w:autoSpaceDE w:val="0"/>
        <w:autoSpaceDN w:val="0"/>
        <w:adjustRightInd w:val="0"/>
        <w:spacing w:after="0" w:line="240" w:lineRule="auto"/>
        <w:ind w:firstLine="680"/>
        <w:jc w:val="both"/>
        <w:rPr>
          <w:rFonts w:ascii="Times New Roman" w:hAnsi="Times New Roman"/>
          <w:b/>
          <w:bCs/>
          <w:iCs/>
          <w:sz w:val="24"/>
          <w:szCs w:val="24"/>
        </w:rPr>
      </w:pPr>
    </w:p>
    <w:p w:rsidR="007904DD" w:rsidRPr="00AE6C97" w:rsidRDefault="007904DD" w:rsidP="007904DD">
      <w:pPr>
        <w:autoSpaceDE w:val="0"/>
        <w:autoSpaceDN w:val="0"/>
        <w:adjustRightInd w:val="0"/>
        <w:spacing w:after="0" w:line="240" w:lineRule="auto"/>
        <w:ind w:firstLine="680"/>
        <w:jc w:val="both"/>
        <w:rPr>
          <w:rFonts w:ascii="Times New Roman" w:hAnsi="Times New Roman"/>
          <w:b/>
          <w:bCs/>
          <w:iCs/>
          <w:sz w:val="24"/>
          <w:szCs w:val="24"/>
        </w:rPr>
      </w:pPr>
      <w:r w:rsidRPr="00AE6C97">
        <w:rPr>
          <w:rFonts w:ascii="Times New Roman" w:hAnsi="Times New Roman"/>
          <w:b/>
          <w:bCs/>
          <w:iCs/>
          <w:sz w:val="24"/>
          <w:szCs w:val="24"/>
        </w:rPr>
        <w:t>С учетом выводов, изложенных в настоящем заключении, контрольно-счетная палата Амурской области предлагает Правительству Амурской области:</w:t>
      </w:r>
    </w:p>
    <w:p w:rsidR="007904DD" w:rsidRPr="007904DD" w:rsidRDefault="007904DD" w:rsidP="00C93094">
      <w:pPr>
        <w:pStyle w:val="a4"/>
        <w:numPr>
          <w:ilvl w:val="0"/>
          <w:numId w:val="13"/>
        </w:numPr>
        <w:tabs>
          <w:tab w:val="left" w:pos="1134"/>
          <w:tab w:val="left" w:pos="1276"/>
        </w:tabs>
        <w:spacing w:after="0" w:line="240" w:lineRule="auto"/>
        <w:ind w:left="0" w:firstLine="709"/>
        <w:jc w:val="both"/>
        <w:outlineLvl w:val="0"/>
        <w:rPr>
          <w:rFonts w:ascii="Times New Roman" w:hAnsi="Times New Roman"/>
          <w:sz w:val="24"/>
          <w:szCs w:val="24"/>
        </w:rPr>
      </w:pPr>
      <w:r w:rsidRPr="007904DD">
        <w:rPr>
          <w:rFonts w:ascii="Times New Roman" w:hAnsi="Times New Roman"/>
          <w:sz w:val="24"/>
          <w:szCs w:val="24"/>
        </w:rPr>
        <w:t>При исполнении областного бюджета в 2018 году рассмотреть вопрос об уточнении прогнозируемых объемов доходов областного бюджета на 2018 год в части поступлений:</w:t>
      </w:r>
    </w:p>
    <w:p w:rsidR="007904DD" w:rsidRPr="00781BD0" w:rsidRDefault="007904DD" w:rsidP="00C93094">
      <w:pPr>
        <w:numPr>
          <w:ilvl w:val="0"/>
          <w:numId w:val="4"/>
        </w:numPr>
        <w:tabs>
          <w:tab w:val="left" w:pos="1134"/>
        </w:tabs>
        <w:spacing w:after="0" w:line="240" w:lineRule="auto"/>
        <w:ind w:left="0" w:firstLine="709"/>
        <w:contextualSpacing/>
        <w:jc w:val="both"/>
        <w:rPr>
          <w:rFonts w:ascii="Times New Roman" w:eastAsia="Calibri" w:hAnsi="Times New Roman"/>
          <w:sz w:val="24"/>
          <w:szCs w:val="24"/>
          <w:lang w:eastAsia="en-US"/>
        </w:rPr>
      </w:pPr>
      <w:r w:rsidRPr="00781BD0">
        <w:rPr>
          <w:rFonts w:ascii="Times New Roman" w:eastAsia="Calibri" w:hAnsi="Times New Roman"/>
          <w:sz w:val="24"/>
          <w:szCs w:val="24"/>
          <w:lang w:eastAsia="en-US"/>
        </w:rPr>
        <w:t>государственной пошлины</w:t>
      </w:r>
      <w:r w:rsidRPr="00781BD0">
        <w:rPr>
          <w:rFonts w:ascii="Times New Roman" w:eastAsia="Calibri" w:hAnsi="Times New Roman"/>
          <w:sz w:val="24"/>
          <w:szCs w:val="24"/>
          <w:lang w:val="en-US" w:eastAsia="en-US"/>
        </w:rPr>
        <w:t>;</w:t>
      </w:r>
    </w:p>
    <w:p w:rsidR="007904DD" w:rsidRPr="00781BD0" w:rsidRDefault="007904DD" w:rsidP="00C93094">
      <w:pPr>
        <w:numPr>
          <w:ilvl w:val="0"/>
          <w:numId w:val="4"/>
        </w:numPr>
        <w:tabs>
          <w:tab w:val="left" w:pos="1134"/>
        </w:tabs>
        <w:spacing w:after="0" w:line="240" w:lineRule="auto"/>
        <w:ind w:left="0" w:firstLine="709"/>
        <w:contextualSpacing/>
        <w:jc w:val="both"/>
        <w:rPr>
          <w:rFonts w:ascii="Times New Roman" w:eastAsia="Calibri" w:hAnsi="Times New Roman"/>
          <w:sz w:val="24"/>
          <w:szCs w:val="24"/>
          <w:lang w:eastAsia="en-US"/>
        </w:rPr>
      </w:pPr>
      <w:r w:rsidRPr="00781BD0">
        <w:rPr>
          <w:rFonts w:ascii="Times New Roman" w:eastAsia="Calibri" w:hAnsi="Times New Roman"/>
          <w:sz w:val="24"/>
          <w:szCs w:val="24"/>
          <w:lang w:eastAsia="en-US"/>
        </w:rPr>
        <w:t>штрафов, санкций, возмещения ущерба.</w:t>
      </w:r>
    </w:p>
    <w:p w:rsidR="007904DD" w:rsidRPr="007904DD" w:rsidRDefault="007904DD" w:rsidP="00C93094">
      <w:pPr>
        <w:pStyle w:val="a4"/>
        <w:widowControl w:val="0"/>
        <w:numPr>
          <w:ilvl w:val="0"/>
          <w:numId w:val="13"/>
        </w:numPr>
        <w:tabs>
          <w:tab w:val="left" w:pos="540"/>
          <w:tab w:val="left" w:pos="1134"/>
        </w:tabs>
        <w:spacing w:after="0" w:line="240" w:lineRule="auto"/>
        <w:ind w:left="0" w:firstLine="709"/>
        <w:jc w:val="both"/>
        <w:rPr>
          <w:rFonts w:ascii="Times New Roman" w:hAnsi="Times New Roman"/>
          <w:sz w:val="24"/>
          <w:szCs w:val="24"/>
        </w:rPr>
      </w:pPr>
      <w:r w:rsidRPr="007904DD">
        <w:rPr>
          <w:rFonts w:ascii="Times New Roman" w:hAnsi="Times New Roman"/>
          <w:bCs/>
          <w:iCs/>
          <w:sz w:val="24"/>
          <w:szCs w:val="24"/>
        </w:rPr>
        <w:t xml:space="preserve">Обеспечить </w:t>
      </w:r>
      <w:r w:rsidRPr="007904DD">
        <w:rPr>
          <w:rFonts w:ascii="Times New Roman" w:hAnsi="Times New Roman"/>
          <w:sz w:val="24"/>
          <w:szCs w:val="24"/>
        </w:rPr>
        <w:t>качество планирования расходов по мероприятиям государственных программ, предусматривающим бюджетные инвестиции в объекты капитального строительства. Расходы на изготовление проектно-сметной документации, строительство и реконструкцию вновь начинаемых объектов государственной собственности области осуществлять при наличии ресурсного обеспечения, реальных возможностей и перспектив завершения строительства объектов.</w:t>
      </w:r>
    </w:p>
    <w:p w:rsidR="007904DD" w:rsidRPr="00EC1C32" w:rsidRDefault="007904DD" w:rsidP="00C93094">
      <w:pPr>
        <w:pStyle w:val="a4"/>
        <w:widowControl w:val="0"/>
        <w:numPr>
          <w:ilvl w:val="0"/>
          <w:numId w:val="13"/>
        </w:numPr>
        <w:tabs>
          <w:tab w:val="left" w:pos="540"/>
          <w:tab w:val="left" w:pos="1134"/>
        </w:tabs>
        <w:spacing w:after="0" w:line="240" w:lineRule="auto"/>
        <w:ind w:left="0" w:firstLine="709"/>
        <w:jc w:val="both"/>
        <w:rPr>
          <w:rFonts w:ascii="Times New Roman" w:hAnsi="Times New Roman"/>
          <w:bCs/>
          <w:iCs/>
          <w:sz w:val="24"/>
          <w:szCs w:val="24"/>
        </w:rPr>
      </w:pPr>
      <w:r w:rsidRPr="00EC1C32">
        <w:rPr>
          <w:rFonts w:ascii="Times New Roman" w:hAnsi="Times New Roman"/>
          <w:bCs/>
          <w:iCs/>
          <w:sz w:val="24"/>
          <w:szCs w:val="24"/>
        </w:rPr>
        <w:t>В целях обеспечения принципа эффективности использования бюджетных средств в ходе исполнения областного бюджета в 201</w:t>
      </w:r>
      <w:r>
        <w:rPr>
          <w:rFonts w:ascii="Times New Roman" w:hAnsi="Times New Roman"/>
          <w:bCs/>
          <w:iCs/>
          <w:sz w:val="24"/>
          <w:szCs w:val="24"/>
        </w:rPr>
        <w:t>8</w:t>
      </w:r>
      <w:r w:rsidRPr="00EC1C32">
        <w:rPr>
          <w:rFonts w:ascii="Times New Roman" w:hAnsi="Times New Roman"/>
          <w:bCs/>
          <w:iCs/>
          <w:sz w:val="24"/>
          <w:szCs w:val="24"/>
        </w:rPr>
        <w:t xml:space="preserve"> году рассмотреть возможность включения расходов на строительство объект</w:t>
      </w:r>
      <w:r w:rsidR="00772277">
        <w:rPr>
          <w:rFonts w:ascii="Times New Roman" w:hAnsi="Times New Roman"/>
          <w:bCs/>
          <w:iCs/>
          <w:sz w:val="24"/>
          <w:szCs w:val="24"/>
        </w:rPr>
        <w:t>а</w:t>
      </w:r>
      <w:r w:rsidRPr="00EC1C32">
        <w:rPr>
          <w:rFonts w:ascii="Times New Roman" w:hAnsi="Times New Roman"/>
          <w:bCs/>
          <w:iCs/>
          <w:sz w:val="24"/>
          <w:szCs w:val="24"/>
        </w:rPr>
        <w:t xml:space="preserve"> с высокой степенью готовности: «Дом-интернат для умственно отсталых детей, с. Малиновка Бурейского района», объектов, начатых строительством в 2011-2012 годах, и объектов с подготовленной проектно-сметной документацией.</w:t>
      </w:r>
    </w:p>
    <w:p w:rsidR="007904DD" w:rsidRPr="00EC1C32" w:rsidRDefault="007904DD" w:rsidP="00C93094">
      <w:pPr>
        <w:pStyle w:val="a4"/>
        <w:numPr>
          <w:ilvl w:val="0"/>
          <w:numId w:val="13"/>
        </w:numPr>
        <w:tabs>
          <w:tab w:val="left" w:pos="1134"/>
        </w:tabs>
        <w:spacing w:after="0" w:line="240" w:lineRule="auto"/>
        <w:ind w:left="0" w:firstLine="709"/>
        <w:jc w:val="both"/>
        <w:rPr>
          <w:rFonts w:ascii="Times New Roman" w:hAnsi="Times New Roman"/>
          <w:sz w:val="24"/>
          <w:szCs w:val="24"/>
        </w:rPr>
      </w:pPr>
      <w:r w:rsidRPr="00EC1C32">
        <w:rPr>
          <w:rFonts w:ascii="Times New Roman" w:hAnsi="Times New Roman"/>
          <w:sz w:val="24"/>
          <w:szCs w:val="24"/>
        </w:rPr>
        <w:t>При подготовке проектов законов об областном бюджете на последующие годы обеспечить качественную подготовк</w:t>
      </w:r>
      <w:r>
        <w:rPr>
          <w:rFonts w:ascii="Times New Roman" w:hAnsi="Times New Roman"/>
          <w:sz w:val="24"/>
          <w:szCs w:val="24"/>
        </w:rPr>
        <w:t>у</w:t>
      </w:r>
      <w:r w:rsidRPr="00EC1C32">
        <w:rPr>
          <w:rFonts w:ascii="Times New Roman" w:hAnsi="Times New Roman"/>
          <w:sz w:val="24"/>
          <w:szCs w:val="24"/>
        </w:rPr>
        <w:t xml:space="preserve"> приложени</w:t>
      </w:r>
      <w:r w:rsidR="00526779">
        <w:rPr>
          <w:rFonts w:ascii="Times New Roman" w:hAnsi="Times New Roman"/>
          <w:sz w:val="24"/>
          <w:szCs w:val="24"/>
        </w:rPr>
        <w:t>й</w:t>
      </w:r>
      <w:r w:rsidRPr="00EC1C32">
        <w:rPr>
          <w:rFonts w:ascii="Times New Roman" w:hAnsi="Times New Roman"/>
          <w:sz w:val="24"/>
          <w:szCs w:val="24"/>
        </w:rPr>
        <w:t xml:space="preserve"> к законопроекту</w:t>
      </w:r>
      <w:r w:rsidR="00526779">
        <w:rPr>
          <w:rFonts w:ascii="Times New Roman" w:hAnsi="Times New Roman"/>
          <w:sz w:val="24"/>
          <w:szCs w:val="24"/>
        </w:rPr>
        <w:t>:</w:t>
      </w:r>
      <w:r w:rsidRPr="00EC1C32">
        <w:rPr>
          <w:rFonts w:ascii="Times New Roman" w:hAnsi="Times New Roman"/>
          <w:sz w:val="24"/>
          <w:szCs w:val="24"/>
        </w:rPr>
        <w:t xml:space="preserve"> Предложения о разработке нормативных правовых актов, принятие которых необходимо для реализации Закона Амурск</w:t>
      </w:r>
      <w:r w:rsidR="00526779">
        <w:rPr>
          <w:rFonts w:ascii="Times New Roman" w:hAnsi="Times New Roman"/>
          <w:sz w:val="24"/>
          <w:szCs w:val="24"/>
        </w:rPr>
        <w:t xml:space="preserve">ой области об областном бюджете; </w:t>
      </w:r>
      <w:r w:rsidR="00526779" w:rsidRPr="00D75BCC">
        <w:rPr>
          <w:rFonts w:ascii="Times New Roman" w:hAnsi="Times New Roman"/>
          <w:sz w:val="24"/>
          <w:szCs w:val="24"/>
        </w:rPr>
        <w:t>Перечень законов и иных нормативных правовых актов, подлежащих отмене, изменению или дополнению</w:t>
      </w:r>
      <w:r w:rsidR="00526779" w:rsidRPr="00526779">
        <w:rPr>
          <w:rFonts w:ascii="Times New Roman" w:hAnsi="Times New Roman"/>
          <w:sz w:val="24"/>
          <w:szCs w:val="24"/>
        </w:rPr>
        <w:t xml:space="preserve"> </w:t>
      </w:r>
      <w:r w:rsidR="00526779" w:rsidRPr="00D75BCC">
        <w:rPr>
          <w:rFonts w:ascii="Times New Roman" w:hAnsi="Times New Roman"/>
          <w:sz w:val="24"/>
          <w:szCs w:val="24"/>
        </w:rPr>
        <w:t>в связи с принятием Закона Амурской области</w:t>
      </w:r>
      <w:r w:rsidR="00526779" w:rsidRPr="00526779">
        <w:rPr>
          <w:rFonts w:ascii="Times New Roman" w:hAnsi="Times New Roman"/>
          <w:sz w:val="24"/>
          <w:szCs w:val="24"/>
        </w:rPr>
        <w:t xml:space="preserve"> </w:t>
      </w:r>
      <w:r w:rsidR="00526779">
        <w:rPr>
          <w:rFonts w:ascii="Times New Roman" w:hAnsi="Times New Roman"/>
          <w:sz w:val="24"/>
          <w:szCs w:val="24"/>
        </w:rPr>
        <w:t>об областном бюджете.</w:t>
      </w:r>
    </w:p>
    <w:p w:rsidR="00526779" w:rsidRPr="006E3062" w:rsidRDefault="00526779" w:rsidP="00C93094">
      <w:pPr>
        <w:pStyle w:val="a4"/>
        <w:numPr>
          <w:ilvl w:val="0"/>
          <w:numId w:val="13"/>
        </w:numPr>
        <w:tabs>
          <w:tab w:val="left" w:pos="1134"/>
        </w:tabs>
        <w:spacing w:after="0" w:line="240" w:lineRule="auto"/>
        <w:ind w:left="0" w:firstLine="709"/>
        <w:jc w:val="both"/>
        <w:rPr>
          <w:rFonts w:ascii="Times New Roman" w:hAnsi="Times New Roman"/>
          <w:sz w:val="24"/>
          <w:szCs w:val="24"/>
        </w:rPr>
      </w:pPr>
      <w:r w:rsidRPr="006E3062">
        <w:rPr>
          <w:rFonts w:ascii="Times New Roman" w:hAnsi="Times New Roman"/>
          <w:sz w:val="24"/>
          <w:szCs w:val="24"/>
        </w:rPr>
        <w:t>Рассмотреть вопрос о целесообразности и эффективности участия Амурской области в открытых акционерн</w:t>
      </w:r>
      <w:bookmarkStart w:id="0" w:name="_GoBack"/>
      <w:bookmarkEnd w:id="0"/>
      <w:r w:rsidRPr="006E3062">
        <w:rPr>
          <w:rFonts w:ascii="Times New Roman" w:hAnsi="Times New Roman"/>
          <w:sz w:val="24"/>
          <w:szCs w:val="24"/>
        </w:rPr>
        <w:t>ых обществах, доля акций (пакетов акций) которых находятся в областной государственной собственности.</w:t>
      </w:r>
    </w:p>
    <w:p w:rsidR="007904DD" w:rsidRPr="006E3062" w:rsidRDefault="007904DD" w:rsidP="007904DD">
      <w:pPr>
        <w:spacing w:after="0" w:line="240" w:lineRule="auto"/>
        <w:ind w:firstLine="709"/>
        <w:rPr>
          <w:sz w:val="24"/>
          <w:szCs w:val="24"/>
        </w:rPr>
      </w:pPr>
    </w:p>
    <w:p w:rsidR="00984B55" w:rsidRDefault="00984B55" w:rsidP="00984B55">
      <w:pPr>
        <w:spacing w:after="0" w:line="240" w:lineRule="auto"/>
        <w:ind w:firstLine="709"/>
        <w:rPr>
          <w:rFonts w:ascii="Times New Roman" w:hAnsi="Times New Roman"/>
          <w:sz w:val="24"/>
          <w:szCs w:val="24"/>
        </w:rPr>
      </w:pPr>
    </w:p>
    <w:p w:rsidR="00C93094" w:rsidRDefault="00C93094" w:rsidP="00984B55">
      <w:pPr>
        <w:spacing w:after="0" w:line="240" w:lineRule="auto"/>
        <w:ind w:firstLine="709"/>
        <w:rPr>
          <w:rFonts w:ascii="Times New Roman" w:hAnsi="Times New Roman"/>
          <w:sz w:val="24"/>
          <w:szCs w:val="24"/>
        </w:rPr>
      </w:pPr>
    </w:p>
    <w:p w:rsidR="00C93094" w:rsidRDefault="00C93094" w:rsidP="00984B55">
      <w:pPr>
        <w:spacing w:after="0" w:line="240" w:lineRule="auto"/>
        <w:ind w:firstLine="709"/>
        <w:rPr>
          <w:rFonts w:ascii="Times New Roman" w:hAnsi="Times New Roman"/>
          <w:sz w:val="24"/>
          <w:szCs w:val="24"/>
        </w:rPr>
      </w:pPr>
    </w:p>
    <w:p w:rsidR="00464D30" w:rsidRPr="00EC1C32" w:rsidRDefault="00464D30" w:rsidP="00984B55">
      <w:pPr>
        <w:spacing w:after="0" w:line="240" w:lineRule="auto"/>
        <w:ind w:firstLine="709"/>
        <w:rPr>
          <w:rFonts w:ascii="Times New Roman" w:hAnsi="Times New Roman"/>
          <w:sz w:val="24"/>
          <w:szCs w:val="24"/>
        </w:rPr>
      </w:pPr>
    </w:p>
    <w:p w:rsidR="00984B55" w:rsidRDefault="00984B55" w:rsidP="00984B55">
      <w:pPr>
        <w:spacing w:after="0" w:line="240" w:lineRule="auto"/>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Председатель                                                                                                                О.М. Бродская</w:t>
      </w:r>
    </w:p>
    <w:sectPr w:rsidR="00984B55" w:rsidSect="00107999">
      <w:footerReference w:type="default" r:id="rId3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F9" w:rsidRDefault="00B516F9" w:rsidP="002E1BC4">
      <w:pPr>
        <w:spacing w:after="0" w:line="240" w:lineRule="auto"/>
      </w:pPr>
      <w:r>
        <w:separator/>
      </w:r>
    </w:p>
  </w:endnote>
  <w:endnote w:type="continuationSeparator" w:id="0">
    <w:p w:rsidR="00B516F9" w:rsidRDefault="00B516F9" w:rsidP="002E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9571"/>
      <w:docPartObj>
        <w:docPartGallery w:val="Page Numbers (Bottom of Page)"/>
        <w:docPartUnique/>
      </w:docPartObj>
    </w:sdtPr>
    <w:sdtEndPr>
      <w:rPr>
        <w:rFonts w:ascii="Times New Roman" w:hAnsi="Times New Roman"/>
      </w:rPr>
    </w:sdtEndPr>
    <w:sdtContent>
      <w:p w:rsidR="00257E56" w:rsidRPr="006E3062" w:rsidRDefault="00257E56">
        <w:pPr>
          <w:pStyle w:val="aa"/>
          <w:jc w:val="center"/>
          <w:rPr>
            <w:rFonts w:ascii="Times New Roman" w:hAnsi="Times New Roman"/>
          </w:rPr>
        </w:pPr>
        <w:r w:rsidRPr="006E3062">
          <w:rPr>
            <w:rFonts w:ascii="Times New Roman" w:hAnsi="Times New Roman"/>
          </w:rPr>
          <w:fldChar w:fldCharType="begin"/>
        </w:r>
        <w:r w:rsidRPr="006E3062">
          <w:rPr>
            <w:rFonts w:ascii="Times New Roman" w:hAnsi="Times New Roman"/>
          </w:rPr>
          <w:instrText>PAGE   \* MERGEFORMAT</w:instrText>
        </w:r>
        <w:r w:rsidRPr="006E3062">
          <w:rPr>
            <w:rFonts w:ascii="Times New Roman" w:hAnsi="Times New Roman"/>
          </w:rPr>
          <w:fldChar w:fldCharType="separate"/>
        </w:r>
        <w:r w:rsidR="00A56C2E">
          <w:rPr>
            <w:rFonts w:ascii="Times New Roman" w:hAnsi="Times New Roman"/>
            <w:noProof/>
          </w:rPr>
          <w:t>47</w:t>
        </w:r>
        <w:r w:rsidRPr="006E3062">
          <w:rPr>
            <w:rFonts w:ascii="Times New Roman" w:hAnsi="Times New Roman"/>
          </w:rPr>
          <w:fldChar w:fldCharType="end"/>
        </w:r>
      </w:p>
    </w:sdtContent>
  </w:sdt>
  <w:p w:rsidR="00257E56" w:rsidRDefault="00257E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F9" w:rsidRDefault="00B516F9" w:rsidP="002E1BC4">
      <w:pPr>
        <w:spacing w:after="0" w:line="240" w:lineRule="auto"/>
      </w:pPr>
      <w:r>
        <w:separator/>
      </w:r>
    </w:p>
  </w:footnote>
  <w:footnote w:type="continuationSeparator" w:id="0">
    <w:p w:rsidR="00B516F9" w:rsidRDefault="00B516F9" w:rsidP="002E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5F1B"/>
    <w:multiLevelType w:val="hybridMultilevel"/>
    <w:tmpl w:val="C0C26C0C"/>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16BCD"/>
    <w:multiLevelType w:val="multilevel"/>
    <w:tmpl w:val="2B3A97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FA641B6"/>
    <w:multiLevelType w:val="hybridMultilevel"/>
    <w:tmpl w:val="4534339C"/>
    <w:lvl w:ilvl="0" w:tplc="2BACBE44">
      <w:start w:val="1"/>
      <w:numFmt w:val="bullet"/>
      <w:lvlText w:val=""/>
      <w:lvlJc w:val="left"/>
      <w:pPr>
        <w:tabs>
          <w:tab w:val="num" w:pos="964"/>
        </w:tabs>
        <w:ind w:left="0" w:firstLine="68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63265C6"/>
    <w:multiLevelType w:val="hybridMultilevel"/>
    <w:tmpl w:val="300212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0573ED"/>
    <w:multiLevelType w:val="hybridMultilevel"/>
    <w:tmpl w:val="4F8AB5AA"/>
    <w:lvl w:ilvl="0" w:tplc="91000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D5D75"/>
    <w:multiLevelType w:val="hybridMultilevel"/>
    <w:tmpl w:val="2A86B934"/>
    <w:lvl w:ilvl="0" w:tplc="701665E4">
      <w:start w:val="1"/>
      <w:numFmt w:val="bullet"/>
      <w:lvlText w:val=""/>
      <w:lvlJc w:val="left"/>
      <w:pPr>
        <w:tabs>
          <w:tab w:val="num" w:pos="96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5B3E18"/>
    <w:multiLevelType w:val="hybridMultilevel"/>
    <w:tmpl w:val="A3BAC884"/>
    <w:lvl w:ilvl="0" w:tplc="0AF8448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2018C7"/>
    <w:multiLevelType w:val="hybridMultilevel"/>
    <w:tmpl w:val="63949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BC3E0F"/>
    <w:multiLevelType w:val="hybridMultilevel"/>
    <w:tmpl w:val="29E0C1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12EE0"/>
    <w:multiLevelType w:val="hybridMultilevel"/>
    <w:tmpl w:val="1FA0944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673877"/>
    <w:multiLevelType w:val="hybridMultilevel"/>
    <w:tmpl w:val="64EAC3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8C926FE"/>
    <w:multiLevelType w:val="hybridMultilevel"/>
    <w:tmpl w:val="5DFAA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DE14CE"/>
    <w:multiLevelType w:val="hybridMultilevel"/>
    <w:tmpl w:val="09B4A316"/>
    <w:lvl w:ilvl="0" w:tplc="8DC67AD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75C96E68"/>
    <w:multiLevelType w:val="hybridMultilevel"/>
    <w:tmpl w:val="DAE88E94"/>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nsid w:val="7BC17EE4"/>
    <w:multiLevelType w:val="hybridMultilevel"/>
    <w:tmpl w:val="8B583FC2"/>
    <w:lvl w:ilvl="0" w:tplc="91000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C36291"/>
    <w:multiLevelType w:val="hybridMultilevel"/>
    <w:tmpl w:val="7D8CD3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F8F5F0A"/>
    <w:multiLevelType w:val="hybridMultilevel"/>
    <w:tmpl w:val="BEF0B938"/>
    <w:lvl w:ilvl="0" w:tplc="3AAC32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D7C0AE8">
      <w:start w:val="1"/>
      <w:numFmt w:val="decimal"/>
      <w:lvlText w:val="%4."/>
      <w:lvlJc w:val="left"/>
      <w:pPr>
        <w:ind w:left="1353"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9"/>
  </w:num>
  <w:num w:numId="6">
    <w:abstractNumId w:val="5"/>
  </w:num>
  <w:num w:numId="7">
    <w:abstractNumId w:val="7"/>
  </w:num>
  <w:num w:numId="8">
    <w:abstractNumId w:val="12"/>
  </w:num>
  <w:num w:numId="9">
    <w:abstractNumId w:val="15"/>
  </w:num>
  <w:num w:numId="10">
    <w:abstractNumId w:val="10"/>
  </w:num>
  <w:num w:numId="11">
    <w:abstractNumId w:val="11"/>
  </w:num>
  <w:num w:numId="12">
    <w:abstractNumId w:val="16"/>
  </w:num>
  <w:num w:numId="13">
    <w:abstractNumId w:val="6"/>
  </w:num>
  <w:num w:numId="14">
    <w:abstractNumId w:val="14"/>
  </w:num>
  <w:num w:numId="15">
    <w:abstractNumId w:val="4"/>
  </w:num>
  <w:num w:numId="16">
    <w:abstractNumId w:val="3"/>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72"/>
    <w:rsid w:val="00002DB5"/>
    <w:rsid w:val="00015E65"/>
    <w:rsid w:val="0001727A"/>
    <w:rsid w:val="00040B06"/>
    <w:rsid w:val="00041BF3"/>
    <w:rsid w:val="00054AB7"/>
    <w:rsid w:val="00066FEC"/>
    <w:rsid w:val="000C7870"/>
    <w:rsid w:val="000E5191"/>
    <w:rsid w:val="00105314"/>
    <w:rsid w:val="00107999"/>
    <w:rsid w:val="001233F7"/>
    <w:rsid w:val="00134415"/>
    <w:rsid w:val="001400B9"/>
    <w:rsid w:val="00151D6E"/>
    <w:rsid w:val="0015234C"/>
    <w:rsid w:val="00154D11"/>
    <w:rsid w:val="001944F7"/>
    <w:rsid w:val="001F1942"/>
    <w:rsid w:val="002359FD"/>
    <w:rsid w:val="00236E18"/>
    <w:rsid w:val="002575C3"/>
    <w:rsid w:val="00257E56"/>
    <w:rsid w:val="00262298"/>
    <w:rsid w:val="00266479"/>
    <w:rsid w:val="002730BE"/>
    <w:rsid w:val="0028723C"/>
    <w:rsid w:val="002928B7"/>
    <w:rsid w:val="00297E06"/>
    <w:rsid w:val="002D18B5"/>
    <w:rsid w:val="002E1BC4"/>
    <w:rsid w:val="002F5D2E"/>
    <w:rsid w:val="003277FE"/>
    <w:rsid w:val="0036081A"/>
    <w:rsid w:val="003670CB"/>
    <w:rsid w:val="00384A7E"/>
    <w:rsid w:val="003C50C3"/>
    <w:rsid w:val="00415664"/>
    <w:rsid w:val="00441D48"/>
    <w:rsid w:val="00453150"/>
    <w:rsid w:val="00462C8E"/>
    <w:rsid w:val="00464D30"/>
    <w:rsid w:val="00472099"/>
    <w:rsid w:val="004C7443"/>
    <w:rsid w:val="004E3D03"/>
    <w:rsid w:val="004F77E7"/>
    <w:rsid w:val="00510DB4"/>
    <w:rsid w:val="00526779"/>
    <w:rsid w:val="00556635"/>
    <w:rsid w:val="0056363E"/>
    <w:rsid w:val="00574491"/>
    <w:rsid w:val="00577221"/>
    <w:rsid w:val="0058566D"/>
    <w:rsid w:val="00595926"/>
    <w:rsid w:val="005B757B"/>
    <w:rsid w:val="00602214"/>
    <w:rsid w:val="00604135"/>
    <w:rsid w:val="00626A68"/>
    <w:rsid w:val="006502BA"/>
    <w:rsid w:val="006622A1"/>
    <w:rsid w:val="00666091"/>
    <w:rsid w:val="00682E0E"/>
    <w:rsid w:val="006C0456"/>
    <w:rsid w:val="006C17A7"/>
    <w:rsid w:val="006C69BB"/>
    <w:rsid w:val="006E3062"/>
    <w:rsid w:val="00706DA1"/>
    <w:rsid w:val="007310A9"/>
    <w:rsid w:val="00736495"/>
    <w:rsid w:val="00772277"/>
    <w:rsid w:val="00781BD0"/>
    <w:rsid w:val="007904DD"/>
    <w:rsid w:val="007A2A00"/>
    <w:rsid w:val="007A4357"/>
    <w:rsid w:val="007A7BBB"/>
    <w:rsid w:val="00852429"/>
    <w:rsid w:val="00875B6A"/>
    <w:rsid w:val="008D0BD9"/>
    <w:rsid w:val="008D537F"/>
    <w:rsid w:val="008E3405"/>
    <w:rsid w:val="008F30D2"/>
    <w:rsid w:val="008F6FAC"/>
    <w:rsid w:val="009112C3"/>
    <w:rsid w:val="00947DAA"/>
    <w:rsid w:val="00974C1C"/>
    <w:rsid w:val="00984B55"/>
    <w:rsid w:val="009920D7"/>
    <w:rsid w:val="009A0E6D"/>
    <w:rsid w:val="009C3313"/>
    <w:rsid w:val="009C43F5"/>
    <w:rsid w:val="009E5A86"/>
    <w:rsid w:val="00A216A3"/>
    <w:rsid w:val="00A56C2E"/>
    <w:rsid w:val="00A65A02"/>
    <w:rsid w:val="00A87072"/>
    <w:rsid w:val="00AE02BC"/>
    <w:rsid w:val="00B103F4"/>
    <w:rsid w:val="00B30264"/>
    <w:rsid w:val="00B516F9"/>
    <w:rsid w:val="00B61618"/>
    <w:rsid w:val="00B77A5A"/>
    <w:rsid w:val="00B80503"/>
    <w:rsid w:val="00B91F9B"/>
    <w:rsid w:val="00BC12C0"/>
    <w:rsid w:val="00BD27AE"/>
    <w:rsid w:val="00BD39C6"/>
    <w:rsid w:val="00BE6198"/>
    <w:rsid w:val="00BE6283"/>
    <w:rsid w:val="00BF2123"/>
    <w:rsid w:val="00BF3EF9"/>
    <w:rsid w:val="00C044BF"/>
    <w:rsid w:val="00C143A3"/>
    <w:rsid w:val="00C2563C"/>
    <w:rsid w:val="00C25755"/>
    <w:rsid w:val="00C518CD"/>
    <w:rsid w:val="00C771B6"/>
    <w:rsid w:val="00C93094"/>
    <w:rsid w:val="00CC4577"/>
    <w:rsid w:val="00CE7CC4"/>
    <w:rsid w:val="00D1488D"/>
    <w:rsid w:val="00D22FA7"/>
    <w:rsid w:val="00D33CDA"/>
    <w:rsid w:val="00D371B2"/>
    <w:rsid w:val="00D604D9"/>
    <w:rsid w:val="00D704FA"/>
    <w:rsid w:val="00D75BCC"/>
    <w:rsid w:val="00D90AB7"/>
    <w:rsid w:val="00D96890"/>
    <w:rsid w:val="00DC1975"/>
    <w:rsid w:val="00DC2785"/>
    <w:rsid w:val="00DC6F1F"/>
    <w:rsid w:val="00DD2064"/>
    <w:rsid w:val="00DF32EE"/>
    <w:rsid w:val="00DF4306"/>
    <w:rsid w:val="00E220E3"/>
    <w:rsid w:val="00E44BA5"/>
    <w:rsid w:val="00E46617"/>
    <w:rsid w:val="00E547FF"/>
    <w:rsid w:val="00E558B6"/>
    <w:rsid w:val="00E626F9"/>
    <w:rsid w:val="00E62863"/>
    <w:rsid w:val="00EA09E6"/>
    <w:rsid w:val="00EB717D"/>
    <w:rsid w:val="00EC0C2F"/>
    <w:rsid w:val="00EC1964"/>
    <w:rsid w:val="00EF08A3"/>
    <w:rsid w:val="00F05396"/>
    <w:rsid w:val="00F1564C"/>
    <w:rsid w:val="00F44C5E"/>
    <w:rsid w:val="00F73FAA"/>
    <w:rsid w:val="00F82BCB"/>
    <w:rsid w:val="00F9510A"/>
    <w:rsid w:val="00FA5E4A"/>
    <w:rsid w:val="00FB5D4B"/>
    <w:rsid w:val="00FC31E3"/>
    <w:rsid w:val="00FD4A07"/>
    <w:rsid w:val="00FD60A6"/>
    <w:rsid w:val="00FF0307"/>
    <w:rsid w:val="00FF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3"/>
    <w:rPr>
      <w:rFonts w:ascii="Calibri" w:eastAsia="Times New Roman" w:hAnsi="Calibri" w:cs="Times New Roman"/>
      <w:lang w:eastAsia="ru-RU"/>
    </w:rPr>
  </w:style>
  <w:style w:type="paragraph" w:styleId="1">
    <w:name w:val="heading 1"/>
    <w:basedOn w:val="a"/>
    <w:next w:val="a"/>
    <w:link w:val="10"/>
    <w:qFormat/>
    <w:rsid w:val="002E1B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2123"/>
    <w:rPr>
      <w:color w:val="0000FF"/>
      <w:u w:val="single"/>
    </w:rPr>
  </w:style>
  <w:style w:type="paragraph" w:customStyle="1" w:styleId="ConsPlusNormal">
    <w:name w:val="ConsPlusNormal"/>
    <w:link w:val="ConsPlusNormal0"/>
    <w:rsid w:val="00BF2123"/>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BF2123"/>
    <w:rPr>
      <w:rFonts w:ascii="Times New Roman" w:hAnsi="Times New Roman" w:cs="Times New Roman"/>
      <w:sz w:val="24"/>
      <w:szCs w:val="24"/>
    </w:rPr>
  </w:style>
  <w:style w:type="character" w:customStyle="1" w:styleId="10">
    <w:name w:val="Заголовок 1 Знак"/>
    <w:basedOn w:val="a0"/>
    <w:link w:val="1"/>
    <w:rsid w:val="002E1BC4"/>
    <w:rPr>
      <w:rFonts w:ascii="Arial" w:eastAsia="Times New Roman" w:hAnsi="Arial" w:cs="Arial"/>
      <w:b/>
      <w:bCs/>
      <w:kern w:val="32"/>
      <w:sz w:val="32"/>
      <w:szCs w:val="32"/>
      <w:lang w:eastAsia="ru-RU"/>
    </w:rPr>
  </w:style>
  <w:style w:type="paragraph" w:styleId="a4">
    <w:name w:val="List Paragraph"/>
    <w:basedOn w:val="a"/>
    <w:uiPriority w:val="34"/>
    <w:qFormat/>
    <w:rsid w:val="002E1BC4"/>
    <w:pPr>
      <w:ind w:left="720"/>
      <w:contextualSpacing/>
    </w:pPr>
    <w:rPr>
      <w:rFonts w:eastAsia="Calibri"/>
      <w:lang w:eastAsia="en-US"/>
    </w:rPr>
  </w:style>
  <w:style w:type="table" w:styleId="a5">
    <w:name w:val="Table Grid"/>
    <w:basedOn w:val="a1"/>
    <w:uiPriority w:val="59"/>
    <w:rsid w:val="002E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1B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BC4"/>
    <w:rPr>
      <w:rFonts w:ascii="Tahoma" w:eastAsia="Times New Roman" w:hAnsi="Tahoma" w:cs="Tahoma"/>
      <w:sz w:val="16"/>
      <w:szCs w:val="16"/>
      <w:lang w:eastAsia="ru-RU"/>
    </w:rPr>
  </w:style>
  <w:style w:type="paragraph" w:styleId="a8">
    <w:name w:val="header"/>
    <w:basedOn w:val="a"/>
    <w:link w:val="a9"/>
    <w:uiPriority w:val="99"/>
    <w:unhideWhenUsed/>
    <w:rsid w:val="002E1B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BC4"/>
    <w:rPr>
      <w:rFonts w:ascii="Calibri" w:eastAsia="Times New Roman" w:hAnsi="Calibri" w:cs="Times New Roman"/>
      <w:lang w:eastAsia="ru-RU"/>
    </w:rPr>
  </w:style>
  <w:style w:type="paragraph" w:styleId="aa">
    <w:name w:val="footer"/>
    <w:basedOn w:val="a"/>
    <w:link w:val="ab"/>
    <w:uiPriority w:val="99"/>
    <w:unhideWhenUsed/>
    <w:rsid w:val="002E1B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1BC4"/>
    <w:rPr>
      <w:rFonts w:ascii="Calibri" w:eastAsia="Times New Roman" w:hAnsi="Calibri" w:cs="Times New Roman"/>
      <w:lang w:eastAsia="ru-RU"/>
    </w:rPr>
  </w:style>
  <w:style w:type="paragraph" w:styleId="ac">
    <w:name w:val="Body Text Indent"/>
    <w:aliases w:val="Нумерованный список !!,Надин стиль,Основной текст 1,Основной текст без отступа"/>
    <w:basedOn w:val="a"/>
    <w:link w:val="ad"/>
    <w:uiPriority w:val="99"/>
    <w:rsid w:val="002E1BC4"/>
    <w:pPr>
      <w:spacing w:after="0" w:line="240" w:lineRule="auto"/>
      <w:ind w:firstLine="1418"/>
      <w:jc w:val="both"/>
    </w:pPr>
    <w:rPr>
      <w:rFonts w:ascii="Times New Roman" w:hAnsi="Times New Roman"/>
      <w:sz w:val="28"/>
      <w:szCs w:val="20"/>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c"/>
    <w:uiPriority w:val="99"/>
    <w:rsid w:val="002E1BC4"/>
    <w:rPr>
      <w:rFonts w:ascii="Times New Roman" w:eastAsia="Times New Roman" w:hAnsi="Times New Roman" w:cs="Times New Roman"/>
      <w:sz w:val="28"/>
      <w:szCs w:val="20"/>
      <w:lang w:eastAsia="ru-RU"/>
    </w:rPr>
  </w:style>
  <w:style w:type="character" w:customStyle="1" w:styleId="ae">
    <w:name w:val="Цветовое выделение"/>
    <w:rsid w:val="002E1BC4"/>
    <w:rPr>
      <w:b/>
      <w:bCs/>
      <w:color w:val="000080"/>
      <w:sz w:val="20"/>
      <w:szCs w:val="20"/>
    </w:rPr>
  </w:style>
  <w:style w:type="paragraph" w:styleId="3">
    <w:name w:val="Body Text Indent 3"/>
    <w:basedOn w:val="a"/>
    <w:link w:val="30"/>
    <w:uiPriority w:val="99"/>
    <w:semiHidden/>
    <w:unhideWhenUsed/>
    <w:rsid w:val="002E1BC4"/>
    <w:pPr>
      <w:spacing w:after="120"/>
      <w:ind w:left="283"/>
    </w:pPr>
    <w:rPr>
      <w:sz w:val="16"/>
      <w:szCs w:val="16"/>
    </w:rPr>
  </w:style>
  <w:style w:type="character" w:customStyle="1" w:styleId="30">
    <w:name w:val="Основной текст с отступом 3 Знак"/>
    <w:basedOn w:val="a0"/>
    <w:link w:val="3"/>
    <w:uiPriority w:val="99"/>
    <w:semiHidden/>
    <w:rsid w:val="002E1BC4"/>
    <w:rPr>
      <w:rFonts w:ascii="Calibri" w:eastAsia="Times New Roman" w:hAnsi="Calibri" w:cs="Times New Roman"/>
      <w:sz w:val="16"/>
      <w:szCs w:val="16"/>
      <w:lang w:eastAsia="ru-RU"/>
    </w:rPr>
  </w:style>
  <w:style w:type="paragraph" w:customStyle="1" w:styleId="rvps698610">
    <w:name w:val="rvps698610"/>
    <w:basedOn w:val="a"/>
    <w:rsid w:val="002E1BC4"/>
    <w:pPr>
      <w:spacing w:after="150" w:line="240" w:lineRule="auto"/>
      <w:ind w:right="300"/>
    </w:pPr>
    <w:rPr>
      <w:rFonts w:ascii="Times New Roman" w:eastAsia="Calibri" w:hAnsi="Times New Roman"/>
      <w:sz w:val="24"/>
      <w:szCs w:val="24"/>
    </w:rPr>
  </w:style>
  <w:style w:type="paragraph" w:customStyle="1" w:styleId="ConsNonformat">
    <w:name w:val="ConsNonformat"/>
    <w:rsid w:val="002E1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Emphasis"/>
    <w:basedOn w:val="a0"/>
    <w:qFormat/>
    <w:rsid w:val="002E1BC4"/>
    <w:rPr>
      <w:i/>
      <w:iCs/>
    </w:rPr>
  </w:style>
  <w:style w:type="paragraph" w:styleId="2">
    <w:name w:val="Body Text Indent 2"/>
    <w:basedOn w:val="a"/>
    <w:link w:val="20"/>
    <w:uiPriority w:val="99"/>
    <w:unhideWhenUsed/>
    <w:rsid w:val="002E1BC4"/>
    <w:pPr>
      <w:spacing w:after="120" w:line="480" w:lineRule="auto"/>
      <w:ind w:left="283"/>
    </w:pPr>
  </w:style>
  <w:style w:type="character" w:customStyle="1" w:styleId="20">
    <w:name w:val="Основной текст с отступом 2 Знак"/>
    <w:basedOn w:val="a0"/>
    <w:link w:val="2"/>
    <w:uiPriority w:val="99"/>
    <w:rsid w:val="002E1BC4"/>
    <w:rPr>
      <w:rFonts w:ascii="Calibri" w:eastAsia="Times New Roman" w:hAnsi="Calibri" w:cs="Times New Roman"/>
      <w:lang w:eastAsia="ru-RU"/>
    </w:rPr>
  </w:style>
  <w:style w:type="paragraph" w:styleId="af0">
    <w:name w:val="Body Text"/>
    <w:basedOn w:val="a"/>
    <w:link w:val="af1"/>
    <w:uiPriority w:val="99"/>
    <w:unhideWhenUsed/>
    <w:rsid w:val="002E1BC4"/>
    <w:pPr>
      <w:spacing w:after="120"/>
    </w:pPr>
  </w:style>
  <w:style w:type="character" w:customStyle="1" w:styleId="af1">
    <w:name w:val="Основной текст Знак"/>
    <w:basedOn w:val="a0"/>
    <w:link w:val="af0"/>
    <w:uiPriority w:val="99"/>
    <w:rsid w:val="002E1BC4"/>
    <w:rPr>
      <w:rFonts w:ascii="Calibri" w:eastAsia="Times New Roman" w:hAnsi="Calibri" w:cs="Times New Roman"/>
      <w:lang w:eastAsia="ru-RU"/>
    </w:rPr>
  </w:style>
  <w:style w:type="paragraph" w:styleId="af2">
    <w:name w:val="No Spacing"/>
    <w:uiPriority w:val="1"/>
    <w:qFormat/>
    <w:rsid w:val="002E1BC4"/>
    <w:pPr>
      <w:spacing w:after="0" w:line="240" w:lineRule="auto"/>
    </w:pPr>
    <w:rPr>
      <w:rFonts w:ascii="Calibri" w:eastAsia="Times New Roman" w:hAnsi="Calibri" w:cs="Times New Roman"/>
      <w:lang w:eastAsia="ru-RU"/>
    </w:rPr>
  </w:style>
  <w:style w:type="paragraph" w:customStyle="1" w:styleId="af3">
    <w:name w:val="Основной текст с отступом.Надин стиль"/>
    <w:basedOn w:val="a"/>
    <w:rsid w:val="002E1BC4"/>
    <w:pPr>
      <w:spacing w:after="0" w:line="240" w:lineRule="auto"/>
      <w:ind w:right="-766" w:firstLine="720"/>
      <w:jc w:val="both"/>
    </w:pPr>
    <w:rPr>
      <w:rFonts w:ascii="Times New Roman" w:hAnsi="Times New Roman"/>
      <w:sz w:val="28"/>
      <w:szCs w:val="20"/>
    </w:rPr>
  </w:style>
  <w:style w:type="paragraph" w:customStyle="1" w:styleId="21">
    <w:name w:val="Без интервала2"/>
    <w:rsid w:val="002E1BC4"/>
    <w:pPr>
      <w:spacing w:after="0" w:line="240" w:lineRule="auto"/>
    </w:pPr>
    <w:rPr>
      <w:rFonts w:ascii="Calibri" w:eastAsia="Times New Roman" w:hAnsi="Calibri" w:cs="Calibri"/>
    </w:rPr>
  </w:style>
  <w:style w:type="paragraph" w:styleId="af4">
    <w:name w:val="caption"/>
    <w:basedOn w:val="a"/>
    <w:next w:val="a"/>
    <w:uiPriority w:val="35"/>
    <w:unhideWhenUsed/>
    <w:qFormat/>
    <w:rsid w:val="002E1BC4"/>
    <w:pPr>
      <w:spacing w:line="240" w:lineRule="auto"/>
    </w:pPr>
    <w:rPr>
      <w:b/>
      <w:bCs/>
      <w:color w:val="4F81BD" w:themeColor="accent1"/>
      <w:sz w:val="18"/>
      <w:szCs w:val="18"/>
    </w:rPr>
  </w:style>
  <w:style w:type="paragraph" w:customStyle="1" w:styleId="af5">
    <w:name w:val="Базовый"/>
    <w:rsid w:val="002E1BC4"/>
    <w:pPr>
      <w:tabs>
        <w:tab w:val="left" w:pos="709"/>
      </w:tabs>
      <w:suppressAutoHyphens/>
      <w:spacing w:line="276" w:lineRule="atLeast"/>
    </w:pPr>
    <w:rPr>
      <w:rFonts w:ascii="Calibri" w:eastAsia="Lucida Sans Unicode" w:hAnsi="Calibri"/>
    </w:rPr>
  </w:style>
  <w:style w:type="paragraph" w:customStyle="1" w:styleId="4">
    <w:name w:val="Без интервала4"/>
    <w:rsid w:val="002E1BC4"/>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3"/>
    <w:rPr>
      <w:rFonts w:ascii="Calibri" w:eastAsia="Times New Roman" w:hAnsi="Calibri" w:cs="Times New Roman"/>
      <w:lang w:eastAsia="ru-RU"/>
    </w:rPr>
  </w:style>
  <w:style w:type="paragraph" w:styleId="1">
    <w:name w:val="heading 1"/>
    <w:basedOn w:val="a"/>
    <w:next w:val="a"/>
    <w:link w:val="10"/>
    <w:qFormat/>
    <w:rsid w:val="002E1B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2123"/>
    <w:rPr>
      <w:color w:val="0000FF"/>
      <w:u w:val="single"/>
    </w:rPr>
  </w:style>
  <w:style w:type="paragraph" w:customStyle="1" w:styleId="ConsPlusNormal">
    <w:name w:val="ConsPlusNormal"/>
    <w:link w:val="ConsPlusNormal0"/>
    <w:rsid w:val="00BF2123"/>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BF2123"/>
    <w:rPr>
      <w:rFonts w:ascii="Times New Roman" w:hAnsi="Times New Roman" w:cs="Times New Roman"/>
      <w:sz w:val="24"/>
      <w:szCs w:val="24"/>
    </w:rPr>
  </w:style>
  <w:style w:type="character" w:customStyle="1" w:styleId="10">
    <w:name w:val="Заголовок 1 Знак"/>
    <w:basedOn w:val="a0"/>
    <w:link w:val="1"/>
    <w:rsid w:val="002E1BC4"/>
    <w:rPr>
      <w:rFonts w:ascii="Arial" w:eastAsia="Times New Roman" w:hAnsi="Arial" w:cs="Arial"/>
      <w:b/>
      <w:bCs/>
      <w:kern w:val="32"/>
      <w:sz w:val="32"/>
      <w:szCs w:val="32"/>
      <w:lang w:eastAsia="ru-RU"/>
    </w:rPr>
  </w:style>
  <w:style w:type="paragraph" w:styleId="a4">
    <w:name w:val="List Paragraph"/>
    <w:basedOn w:val="a"/>
    <w:uiPriority w:val="34"/>
    <w:qFormat/>
    <w:rsid w:val="002E1BC4"/>
    <w:pPr>
      <w:ind w:left="720"/>
      <w:contextualSpacing/>
    </w:pPr>
    <w:rPr>
      <w:rFonts w:eastAsia="Calibri"/>
      <w:lang w:eastAsia="en-US"/>
    </w:rPr>
  </w:style>
  <w:style w:type="table" w:styleId="a5">
    <w:name w:val="Table Grid"/>
    <w:basedOn w:val="a1"/>
    <w:uiPriority w:val="59"/>
    <w:rsid w:val="002E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1B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BC4"/>
    <w:rPr>
      <w:rFonts w:ascii="Tahoma" w:eastAsia="Times New Roman" w:hAnsi="Tahoma" w:cs="Tahoma"/>
      <w:sz w:val="16"/>
      <w:szCs w:val="16"/>
      <w:lang w:eastAsia="ru-RU"/>
    </w:rPr>
  </w:style>
  <w:style w:type="paragraph" w:styleId="a8">
    <w:name w:val="header"/>
    <w:basedOn w:val="a"/>
    <w:link w:val="a9"/>
    <w:uiPriority w:val="99"/>
    <w:unhideWhenUsed/>
    <w:rsid w:val="002E1B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BC4"/>
    <w:rPr>
      <w:rFonts w:ascii="Calibri" w:eastAsia="Times New Roman" w:hAnsi="Calibri" w:cs="Times New Roman"/>
      <w:lang w:eastAsia="ru-RU"/>
    </w:rPr>
  </w:style>
  <w:style w:type="paragraph" w:styleId="aa">
    <w:name w:val="footer"/>
    <w:basedOn w:val="a"/>
    <w:link w:val="ab"/>
    <w:uiPriority w:val="99"/>
    <w:unhideWhenUsed/>
    <w:rsid w:val="002E1B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1BC4"/>
    <w:rPr>
      <w:rFonts w:ascii="Calibri" w:eastAsia="Times New Roman" w:hAnsi="Calibri" w:cs="Times New Roman"/>
      <w:lang w:eastAsia="ru-RU"/>
    </w:rPr>
  </w:style>
  <w:style w:type="paragraph" w:styleId="ac">
    <w:name w:val="Body Text Indent"/>
    <w:aliases w:val="Нумерованный список !!,Надин стиль,Основной текст 1,Основной текст без отступа"/>
    <w:basedOn w:val="a"/>
    <w:link w:val="ad"/>
    <w:uiPriority w:val="99"/>
    <w:rsid w:val="002E1BC4"/>
    <w:pPr>
      <w:spacing w:after="0" w:line="240" w:lineRule="auto"/>
      <w:ind w:firstLine="1418"/>
      <w:jc w:val="both"/>
    </w:pPr>
    <w:rPr>
      <w:rFonts w:ascii="Times New Roman" w:hAnsi="Times New Roman"/>
      <w:sz w:val="28"/>
      <w:szCs w:val="20"/>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c"/>
    <w:uiPriority w:val="99"/>
    <w:rsid w:val="002E1BC4"/>
    <w:rPr>
      <w:rFonts w:ascii="Times New Roman" w:eastAsia="Times New Roman" w:hAnsi="Times New Roman" w:cs="Times New Roman"/>
      <w:sz w:val="28"/>
      <w:szCs w:val="20"/>
      <w:lang w:eastAsia="ru-RU"/>
    </w:rPr>
  </w:style>
  <w:style w:type="character" w:customStyle="1" w:styleId="ae">
    <w:name w:val="Цветовое выделение"/>
    <w:rsid w:val="002E1BC4"/>
    <w:rPr>
      <w:b/>
      <w:bCs/>
      <w:color w:val="000080"/>
      <w:sz w:val="20"/>
      <w:szCs w:val="20"/>
    </w:rPr>
  </w:style>
  <w:style w:type="paragraph" w:styleId="3">
    <w:name w:val="Body Text Indent 3"/>
    <w:basedOn w:val="a"/>
    <w:link w:val="30"/>
    <w:uiPriority w:val="99"/>
    <w:semiHidden/>
    <w:unhideWhenUsed/>
    <w:rsid w:val="002E1BC4"/>
    <w:pPr>
      <w:spacing w:after="120"/>
      <w:ind w:left="283"/>
    </w:pPr>
    <w:rPr>
      <w:sz w:val="16"/>
      <w:szCs w:val="16"/>
    </w:rPr>
  </w:style>
  <w:style w:type="character" w:customStyle="1" w:styleId="30">
    <w:name w:val="Основной текст с отступом 3 Знак"/>
    <w:basedOn w:val="a0"/>
    <w:link w:val="3"/>
    <w:uiPriority w:val="99"/>
    <w:semiHidden/>
    <w:rsid w:val="002E1BC4"/>
    <w:rPr>
      <w:rFonts w:ascii="Calibri" w:eastAsia="Times New Roman" w:hAnsi="Calibri" w:cs="Times New Roman"/>
      <w:sz w:val="16"/>
      <w:szCs w:val="16"/>
      <w:lang w:eastAsia="ru-RU"/>
    </w:rPr>
  </w:style>
  <w:style w:type="paragraph" w:customStyle="1" w:styleId="rvps698610">
    <w:name w:val="rvps698610"/>
    <w:basedOn w:val="a"/>
    <w:rsid w:val="002E1BC4"/>
    <w:pPr>
      <w:spacing w:after="150" w:line="240" w:lineRule="auto"/>
      <w:ind w:right="300"/>
    </w:pPr>
    <w:rPr>
      <w:rFonts w:ascii="Times New Roman" w:eastAsia="Calibri" w:hAnsi="Times New Roman"/>
      <w:sz w:val="24"/>
      <w:szCs w:val="24"/>
    </w:rPr>
  </w:style>
  <w:style w:type="paragraph" w:customStyle="1" w:styleId="ConsNonformat">
    <w:name w:val="ConsNonformat"/>
    <w:rsid w:val="002E1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Emphasis"/>
    <w:basedOn w:val="a0"/>
    <w:qFormat/>
    <w:rsid w:val="002E1BC4"/>
    <w:rPr>
      <w:i/>
      <w:iCs/>
    </w:rPr>
  </w:style>
  <w:style w:type="paragraph" w:styleId="2">
    <w:name w:val="Body Text Indent 2"/>
    <w:basedOn w:val="a"/>
    <w:link w:val="20"/>
    <w:uiPriority w:val="99"/>
    <w:unhideWhenUsed/>
    <w:rsid w:val="002E1BC4"/>
    <w:pPr>
      <w:spacing w:after="120" w:line="480" w:lineRule="auto"/>
      <w:ind w:left="283"/>
    </w:pPr>
  </w:style>
  <w:style w:type="character" w:customStyle="1" w:styleId="20">
    <w:name w:val="Основной текст с отступом 2 Знак"/>
    <w:basedOn w:val="a0"/>
    <w:link w:val="2"/>
    <w:uiPriority w:val="99"/>
    <w:rsid w:val="002E1BC4"/>
    <w:rPr>
      <w:rFonts w:ascii="Calibri" w:eastAsia="Times New Roman" w:hAnsi="Calibri" w:cs="Times New Roman"/>
      <w:lang w:eastAsia="ru-RU"/>
    </w:rPr>
  </w:style>
  <w:style w:type="paragraph" w:styleId="af0">
    <w:name w:val="Body Text"/>
    <w:basedOn w:val="a"/>
    <w:link w:val="af1"/>
    <w:uiPriority w:val="99"/>
    <w:unhideWhenUsed/>
    <w:rsid w:val="002E1BC4"/>
    <w:pPr>
      <w:spacing w:after="120"/>
    </w:pPr>
  </w:style>
  <w:style w:type="character" w:customStyle="1" w:styleId="af1">
    <w:name w:val="Основной текст Знак"/>
    <w:basedOn w:val="a0"/>
    <w:link w:val="af0"/>
    <w:uiPriority w:val="99"/>
    <w:rsid w:val="002E1BC4"/>
    <w:rPr>
      <w:rFonts w:ascii="Calibri" w:eastAsia="Times New Roman" w:hAnsi="Calibri" w:cs="Times New Roman"/>
      <w:lang w:eastAsia="ru-RU"/>
    </w:rPr>
  </w:style>
  <w:style w:type="paragraph" w:styleId="af2">
    <w:name w:val="No Spacing"/>
    <w:uiPriority w:val="1"/>
    <w:qFormat/>
    <w:rsid w:val="002E1BC4"/>
    <w:pPr>
      <w:spacing w:after="0" w:line="240" w:lineRule="auto"/>
    </w:pPr>
    <w:rPr>
      <w:rFonts w:ascii="Calibri" w:eastAsia="Times New Roman" w:hAnsi="Calibri" w:cs="Times New Roman"/>
      <w:lang w:eastAsia="ru-RU"/>
    </w:rPr>
  </w:style>
  <w:style w:type="paragraph" w:customStyle="1" w:styleId="af3">
    <w:name w:val="Основной текст с отступом.Надин стиль"/>
    <w:basedOn w:val="a"/>
    <w:rsid w:val="002E1BC4"/>
    <w:pPr>
      <w:spacing w:after="0" w:line="240" w:lineRule="auto"/>
      <w:ind w:right="-766" w:firstLine="720"/>
      <w:jc w:val="both"/>
    </w:pPr>
    <w:rPr>
      <w:rFonts w:ascii="Times New Roman" w:hAnsi="Times New Roman"/>
      <w:sz w:val="28"/>
      <w:szCs w:val="20"/>
    </w:rPr>
  </w:style>
  <w:style w:type="paragraph" w:customStyle="1" w:styleId="21">
    <w:name w:val="Без интервала2"/>
    <w:rsid w:val="002E1BC4"/>
    <w:pPr>
      <w:spacing w:after="0" w:line="240" w:lineRule="auto"/>
    </w:pPr>
    <w:rPr>
      <w:rFonts w:ascii="Calibri" w:eastAsia="Times New Roman" w:hAnsi="Calibri" w:cs="Calibri"/>
    </w:rPr>
  </w:style>
  <w:style w:type="paragraph" w:styleId="af4">
    <w:name w:val="caption"/>
    <w:basedOn w:val="a"/>
    <w:next w:val="a"/>
    <w:uiPriority w:val="35"/>
    <w:unhideWhenUsed/>
    <w:qFormat/>
    <w:rsid w:val="002E1BC4"/>
    <w:pPr>
      <w:spacing w:line="240" w:lineRule="auto"/>
    </w:pPr>
    <w:rPr>
      <w:b/>
      <w:bCs/>
      <w:color w:val="4F81BD" w:themeColor="accent1"/>
      <w:sz w:val="18"/>
      <w:szCs w:val="18"/>
    </w:rPr>
  </w:style>
  <w:style w:type="paragraph" w:customStyle="1" w:styleId="af5">
    <w:name w:val="Базовый"/>
    <w:rsid w:val="002E1BC4"/>
    <w:pPr>
      <w:tabs>
        <w:tab w:val="left" w:pos="709"/>
      </w:tabs>
      <w:suppressAutoHyphens/>
      <w:spacing w:line="276" w:lineRule="atLeast"/>
    </w:pPr>
    <w:rPr>
      <w:rFonts w:ascii="Calibri" w:eastAsia="Lucida Sans Unicode" w:hAnsi="Calibri"/>
    </w:rPr>
  </w:style>
  <w:style w:type="paragraph" w:customStyle="1" w:styleId="4">
    <w:name w:val="Без интервала4"/>
    <w:rsid w:val="002E1BC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consultantplus://offline/ref=B55177C83A6D177B865D724A9834716F07B62E555915D59E2856241C72F2FA12BE9218F2D9B8A276B2ACDFC0tFA"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consultantplus://offline/ref=9B2A906B724BB9A26E4A85FC5DA3BCB5B721D6E2F99E59F60545E632827944022FC567505674FA66pEu1F" TargetMode="External"/><Relationship Id="rId33" Type="http://schemas.openxmlformats.org/officeDocument/2006/relationships/hyperlink" Target="consultantplus://offline/ref=51EA306B28813FE777BBB4CD53B39B6739397D996E298D2DAF9E6836B51D695ACEBDF571F56F4C7749B82552D4G"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consultantplus://offline/ref=9B2A906B724BB9A26E4A85FC5DA3BCB5B721D6E2F99E59F60545E632827944022FC567505674FA66pEu1F" TargetMode="External"/><Relationship Id="rId32" Type="http://schemas.openxmlformats.org/officeDocument/2006/relationships/hyperlink" Target="consultantplus://offline/ref=51EA306B28813FE777BBB4CD53B39B6739397D996E298D2DAF9E6836B51D695ACEBDF571F56F4C7749B82552D4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hyperlink" Target="mailto:kspamur@tsl.ru" TargetMode="External"/><Relationship Id="rId19" Type="http://schemas.openxmlformats.org/officeDocument/2006/relationships/chart" Target="charts/chart9.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42;&#1072;&#1083;&#1077;&#1085;&#1090;&#1080;&#1085;&#1072;\Documents\&#1041;&#1102;&#1076;&#1078;&#1077;&#1090;%202018\&#1044;&#1048;&#1040;&#1043;&#1056;&#1040;&#1052;&#1052;&#1067;%20&#1073;&#1102;&#1076;&#1078;&#1077;&#1090;%20&#1086;&#1073;&#1083;&#1072;&#1089;&#1090;&#1100;%202018.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oleObject" Target="file:///F:\&#1041;&#1102;&#1076;&#1078;&#1077;&#1090;%202018\&#1044;&#1048;&#1040;&#1043;&#1056;&#1040;&#1052;&#1052;&#1067;%20&#1073;&#1102;&#1076;&#1078;&#1077;&#1090;%20&#1086;&#1073;&#1083;&#1072;&#1089;&#1090;&#1100;.xlsx" TargetMode="Externa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c:spPr>
    </c:sideWall>
    <c:backWall>
      <c:thickness val="0"/>
      <c:spPr>
        <a:noFill/>
      </c:spPr>
    </c:backWall>
    <c:plotArea>
      <c:layout>
        <c:manualLayout>
          <c:layoutTarget val="inner"/>
          <c:xMode val="edge"/>
          <c:yMode val="edge"/>
          <c:x val="0.11546227753064806"/>
          <c:y val="3.5688793718772309E-2"/>
          <c:w val="0.85895837539538322"/>
          <c:h val="0.68674386289949052"/>
        </c:manualLayout>
      </c:layout>
      <c:bar3DChart>
        <c:barDir val="col"/>
        <c:grouping val="clustered"/>
        <c:varyColors val="0"/>
        <c:ser>
          <c:idx val="0"/>
          <c:order val="0"/>
          <c:tx>
            <c:strRef>
              <c:f>Лист1!$B$1</c:f>
              <c:strCache>
                <c:ptCount val="1"/>
                <c:pt idx="0">
                  <c:v>Денежные доходы населения</c:v>
                </c:pt>
              </c:strCache>
            </c:strRef>
          </c:tx>
          <c:spPr>
            <a:pattFill prst="narVert">
              <a:fgClr>
                <a:sysClr val="windowText" lastClr="000000"/>
              </a:fgClr>
              <a:bgClr>
                <a:sysClr val="window" lastClr="FFFFFF"/>
              </a:bgClr>
            </a:pattFill>
            <a:ln w="15875">
              <a:solidFill>
                <a:sysClr val="windowText" lastClr="000000"/>
              </a:solidFill>
            </a:ln>
            <a:effectLst>
              <a:outerShdw blurRad="76200" dist="12700" dir="2700000" sy="-23000" kx="-800400" algn="bl" rotWithShape="0">
                <a:prstClr val="black">
                  <a:alpha val="20000"/>
                </a:prstClr>
              </a:outerShdw>
            </a:effectLst>
            <a:scene3d>
              <a:camera prst="orthographicFront"/>
              <a:lightRig rig="threePt" dir="t">
                <a:rot lat="0" lon="0" rev="1200000"/>
              </a:lightRig>
            </a:scene3d>
            <a:sp3d prstMaterial="softEdge">
              <a:bevelT w="63500" h="25400"/>
            </a:sp3d>
          </c:spPr>
          <c:invertIfNegative val="0"/>
          <c:dLbls>
            <c:dLbl>
              <c:idx val="0"/>
              <c:layout>
                <c:manualLayout>
                  <c:x val="7.2509627885299381E-4"/>
                  <c:y val="-2.0416493936948839E-2"/>
                </c:manualLayout>
              </c:layout>
              <c:showLegendKey val="0"/>
              <c:showVal val="1"/>
              <c:showCatName val="0"/>
              <c:showSerName val="0"/>
              <c:showPercent val="0"/>
              <c:showBubbleSize val="0"/>
            </c:dLbl>
            <c:dLbl>
              <c:idx val="1"/>
              <c:layout>
                <c:manualLayout>
                  <c:x val="3.5944105117701407E-4"/>
                  <c:y val="-1.8647896285691561E-2"/>
                </c:manualLayout>
              </c:layout>
              <c:showLegendKey val="0"/>
              <c:showVal val="1"/>
              <c:showCatName val="0"/>
              <c:showSerName val="0"/>
              <c:showPercent val="0"/>
              <c:showBubbleSize val="0"/>
            </c:dLbl>
            <c:dLbl>
              <c:idx val="2"/>
              <c:layout>
                <c:manualLayout>
                  <c:x val="0"/>
                  <c:y val="-1.6112905242963261E-2"/>
                </c:manualLayout>
              </c:layout>
              <c:showLegendKey val="0"/>
              <c:showVal val="1"/>
              <c:showCatName val="0"/>
              <c:showSerName val="0"/>
              <c:showPercent val="0"/>
              <c:showBubbleSize val="0"/>
            </c:dLbl>
            <c:dLbl>
              <c:idx val="3"/>
              <c:layout>
                <c:manualLayout>
                  <c:x val="-2.0768431983385254E-3"/>
                  <c:y val="-2.0140972843396731E-2"/>
                </c:manualLayout>
              </c:layout>
              <c:showLegendKey val="0"/>
              <c:showVal val="1"/>
              <c:showCatName val="0"/>
              <c:showSerName val="0"/>
              <c:showPercent val="0"/>
              <c:showBubbleSize val="0"/>
            </c:dLbl>
            <c:dLbl>
              <c:idx val="4"/>
              <c:layout>
                <c:manualLayout>
                  <c:x val="0"/>
                  <c:y val="-1.6112789526686797E-2"/>
                </c:manualLayout>
              </c:layout>
              <c:showLegendKey val="0"/>
              <c:showVal val="1"/>
              <c:showCatName val="0"/>
              <c:showSerName val="0"/>
              <c:showPercent val="0"/>
              <c:showBubbleSize val="0"/>
            </c:dLbl>
            <c:spPr>
              <a:noFill/>
              <a:ln>
                <a:solidFill>
                  <a:schemeClr val="accent1"/>
                </a:solidFill>
              </a:ln>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 (оценка)</c:v>
                </c:pt>
                <c:pt idx="2">
                  <c:v>2018 год (прогноз)</c:v>
                </c:pt>
                <c:pt idx="3">
                  <c:v>2019 год (прогноз)</c:v>
                </c:pt>
                <c:pt idx="4">
                  <c:v>2020 год (прогноз)</c:v>
                </c:pt>
              </c:strCache>
            </c:strRef>
          </c:cat>
          <c:val>
            <c:numRef>
              <c:f>Лист1!$B$2:$B$6</c:f>
              <c:numCache>
                <c:formatCode>0.00</c:formatCode>
                <c:ptCount val="5"/>
                <c:pt idx="0">
                  <c:v>285.53870000000001</c:v>
                </c:pt>
                <c:pt idx="1">
                  <c:v>303.48773999999997</c:v>
                </c:pt>
                <c:pt idx="2">
                  <c:v>322.6902</c:v>
                </c:pt>
                <c:pt idx="3">
                  <c:v>341.54719999999998</c:v>
                </c:pt>
                <c:pt idx="4">
                  <c:v>361.87803000000002</c:v>
                </c:pt>
              </c:numCache>
            </c:numRef>
          </c:val>
        </c:ser>
        <c:ser>
          <c:idx val="1"/>
          <c:order val="1"/>
          <c:tx>
            <c:strRef>
              <c:f>Лист1!$C$1</c:f>
              <c:strCache>
                <c:ptCount val="1"/>
                <c:pt idx="0">
                  <c:v>Расходы населения</c:v>
                </c:pt>
              </c:strCache>
            </c:strRef>
          </c:tx>
          <c:spPr>
            <a:pattFill prst="zigZag">
              <a:fgClr>
                <a:sysClr val="windowText" lastClr="000000"/>
              </a:fgClr>
              <a:bgClr>
                <a:sysClr val="window" lastClr="FFFFFF"/>
              </a:bgClr>
            </a:pattFill>
            <a:ln w="15875">
              <a:solidFill>
                <a:sysClr val="windowText" lastClr="000000"/>
              </a:solidFill>
            </a:ln>
            <a:scene3d>
              <a:camera prst="orthographicFront"/>
              <a:lightRig rig="threePt" dir="t">
                <a:rot lat="0" lon="0" rev="1200000"/>
              </a:lightRig>
            </a:scene3d>
            <a:sp3d prstMaterial="matte">
              <a:bevelT w="63500" h="25400"/>
            </a:sp3d>
          </c:spPr>
          <c:invertIfNegative val="0"/>
          <c:dLbls>
            <c:dLbl>
              <c:idx val="0"/>
              <c:layout>
                <c:manualLayout>
                  <c:x val="2.5588670575056621E-2"/>
                  <c:y val="-1.4967766491424221E-2"/>
                </c:manualLayout>
              </c:layout>
              <c:showLegendKey val="0"/>
              <c:showVal val="1"/>
              <c:showCatName val="0"/>
              <c:showSerName val="0"/>
              <c:showPercent val="0"/>
              <c:showBubbleSize val="0"/>
            </c:dLbl>
            <c:dLbl>
              <c:idx val="1"/>
              <c:layout>
                <c:manualLayout>
                  <c:x val="2.5398811129917171E-2"/>
                  <c:y val="-1.9361673446408323E-2"/>
                </c:manualLayout>
              </c:layout>
              <c:showLegendKey val="0"/>
              <c:showVal val="1"/>
              <c:showCatName val="0"/>
              <c:showSerName val="0"/>
              <c:showPercent val="0"/>
              <c:showBubbleSize val="0"/>
            </c:dLbl>
            <c:dLbl>
              <c:idx val="2"/>
              <c:layout>
                <c:manualLayout>
                  <c:x val="2.5338958798374504E-2"/>
                  <c:y val="-1.0479063948782114E-2"/>
                </c:manualLayout>
              </c:layout>
              <c:showLegendKey val="0"/>
              <c:showVal val="1"/>
              <c:showCatName val="0"/>
              <c:showSerName val="0"/>
              <c:showPercent val="0"/>
              <c:showBubbleSize val="0"/>
            </c:dLbl>
            <c:dLbl>
              <c:idx val="3"/>
              <c:layout>
                <c:manualLayout>
                  <c:x val="2.1214053850745217E-2"/>
                  <c:y val="-1.61368952747976E-2"/>
                </c:manualLayout>
              </c:layout>
              <c:showLegendKey val="0"/>
              <c:showVal val="1"/>
              <c:showCatName val="0"/>
              <c:showSerName val="0"/>
              <c:showPercent val="0"/>
              <c:showBubbleSize val="0"/>
            </c:dLbl>
            <c:dLbl>
              <c:idx val="4"/>
              <c:layout>
                <c:manualLayout>
                  <c:x val="2.5820721008004841E-2"/>
                  <c:y val="-1.9802751928736182E-2"/>
                </c:manualLayout>
              </c:layout>
              <c:showLegendKey val="0"/>
              <c:showVal val="1"/>
              <c:showCatName val="0"/>
              <c:showSerName val="0"/>
              <c:showPercent val="0"/>
              <c:showBubbleSize val="0"/>
            </c:dLbl>
            <c:dLbl>
              <c:idx val="5"/>
              <c:layout>
                <c:manualLayout>
                  <c:x val="6.5175819368732749E-2"/>
                  <c:y val="-3.0082389433941079E-2"/>
                </c:manualLayout>
              </c:layout>
              <c:showLegendKey val="0"/>
              <c:showVal val="1"/>
              <c:showCatName val="0"/>
              <c:showSerName val="0"/>
              <c:showPercent val="0"/>
              <c:showBubbleSize val="0"/>
            </c:dLbl>
            <c:spPr>
              <a:noFill/>
              <a:ln>
                <a:solidFill>
                  <a:schemeClr val="accent2">
                    <a:lumMod val="75000"/>
                  </a:schemeClr>
                </a:solidFill>
              </a:ln>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 (оценка)</c:v>
                </c:pt>
                <c:pt idx="2">
                  <c:v>2018 год (прогноз)</c:v>
                </c:pt>
                <c:pt idx="3">
                  <c:v>2019 год (прогноз)</c:v>
                </c:pt>
                <c:pt idx="4">
                  <c:v>2020 год (прогноз)</c:v>
                </c:pt>
              </c:strCache>
            </c:strRef>
          </c:cat>
          <c:val>
            <c:numRef>
              <c:f>Лист1!$C$2:$C$6</c:f>
              <c:numCache>
                <c:formatCode>0.00</c:formatCode>
                <c:ptCount val="5"/>
                <c:pt idx="0">
                  <c:v>284.02670000000001</c:v>
                </c:pt>
                <c:pt idx="1">
                  <c:v>301.64717999999999</c:v>
                </c:pt>
                <c:pt idx="2">
                  <c:v>319.64210000000003</c:v>
                </c:pt>
                <c:pt idx="3">
                  <c:v>337.34392000000003</c:v>
                </c:pt>
                <c:pt idx="4">
                  <c:v>356.39046000000002</c:v>
                </c:pt>
              </c:numCache>
            </c:numRef>
          </c:val>
        </c:ser>
        <c:ser>
          <c:idx val="2"/>
          <c:order val="2"/>
          <c:tx>
            <c:strRef>
              <c:f>Лист1!$D$1</c:f>
              <c:strCache>
                <c:ptCount val="1"/>
                <c:pt idx="0">
                  <c:v>Превышение доходов над расходами</c:v>
                </c:pt>
              </c:strCache>
            </c:strRef>
          </c:tx>
          <c:spPr>
            <a:pattFill prst="pct80">
              <a:fgClr>
                <a:sysClr val="windowText" lastClr="000000"/>
              </a:fgClr>
              <a:bgClr>
                <a:sysClr val="window" lastClr="FFFFFF"/>
              </a:bgClr>
            </a:pattFill>
            <a:ln w="15875">
              <a:solidFill>
                <a:sysClr val="windowText" lastClr="000000"/>
              </a:solidFill>
            </a:ln>
          </c:spPr>
          <c:invertIfNegative val="0"/>
          <c:dLbls>
            <c:dLbl>
              <c:idx val="0"/>
              <c:layout>
                <c:manualLayout>
                  <c:x val="6.2305295950155761E-3"/>
                  <c:y val="-2.7397260273972601E-2"/>
                </c:manualLayout>
              </c:layout>
              <c:showLegendKey val="0"/>
              <c:showVal val="1"/>
              <c:showCatName val="0"/>
              <c:showSerName val="0"/>
              <c:showPercent val="0"/>
              <c:showBubbleSize val="0"/>
            </c:dLbl>
            <c:dLbl>
              <c:idx val="1"/>
              <c:layout>
                <c:manualLayout>
                  <c:x val="6.2305295950155761E-3"/>
                  <c:y val="-2.7397260273972688E-2"/>
                </c:manualLayout>
              </c:layout>
              <c:showLegendKey val="0"/>
              <c:showVal val="1"/>
              <c:showCatName val="0"/>
              <c:showSerName val="0"/>
              <c:showPercent val="0"/>
              <c:showBubbleSize val="0"/>
            </c:dLbl>
            <c:dLbl>
              <c:idx val="2"/>
              <c:layout>
                <c:manualLayout>
                  <c:x val="1.0384215991692628E-2"/>
                  <c:y val="-1.8264840182648401E-2"/>
                </c:manualLayout>
              </c:layout>
              <c:showLegendKey val="0"/>
              <c:showVal val="1"/>
              <c:showCatName val="0"/>
              <c:showSerName val="0"/>
              <c:showPercent val="0"/>
              <c:showBubbleSize val="0"/>
            </c:dLbl>
            <c:dLbl>
              <c:idx val="3"/>
              <c:layout>
                <c:manualLayout>
                  <c:x val="6.2305295950155761E-3"/>
                  <c:y val="-1.8264840182648484E-2"/>
                </c:manualLayout>
              </c:layout>
              <c:showLegendKey val="0"/>
              <c:showVal val="1"/>
              <c:showCatName val="0"/>
              <c:showSerName val="0"/>
              <c:showPercent val="0"/>
              <c:showBubbleSize val="0"/>
            </c:dLbl>
            <c:dLbl>
              <c:idx val="4"/>
              <c:layout>
                <c:manualLayout>
                  <c:x val="2.4922118380062305E-2"/>
                  <c:y val="-3.1963470319634785E-2"/>
                </c:manualLayout>
              </c:layout>
              <c:showLegendKey val="0"/>
              <c:showVal val="1"/>
              <c:showCatName val="0"/>
              <c:showSerName val="0"/>
              <c:showPercent val="0"/>
              <c:showBubbleSize val="0"/>
            </c:dLbl>
            <c:spPr>
              <a:noFill/>
              <a:ln>
                <a:solidFill>
                  <a:schemeClr val="accent3">
                    <a:lumMod val="75000"/>
                  </a:schemeClr>
                </a:solidFill>
              </a:ln>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 (оценка)</c:v>
                </c:pt>
                <c:pt idx="2">
                  <c:v>2018 год (прогноз)</c:v>
                </c:pt>
                <c:pt idx="3">
                  <c:v>2019 год (прогноз)</c:v>
                </c:pt>
                <c:pt idx="4">
                  <c:v>2020 год (прогноз)</c:v>
                </c:pt>
              </c:strCache>
            </c:strRef>
          </c:cat>
          <c:val>
            <c:numRef>
              <c:f>Лист1!$D$2:$D$6</c:f>
              <c:numCache>
                <c:formatCode>0.00</c:formatCode>
                <c:ptCount val="5"/>
                <c:pt idx="0">
                  <c:v>1.512</c:v>
                </c:pt>
                <c:pt idx="1">
                  <c:v>1.84056</c:v>
                </c:pt>
                <c:pt idx="2">
                  <c:v>3.0480999999999998</c:v>
                </c:pt>
                <c:pt idx="3">
                  <c:v>4.2032699999999998</c:v>
                </c:pt>
                <c:pt idx="4">
                  <c:v>5.4875699999999998</c:v>
                </c:pt>
              </c:numCache>
            </c:numRef>
          </c:val>
        </c:ser>
        <c:dLbls>
          <c:showLegendKey val="0"/>
          <c:showVal val="0"/>
          <c:showCatName val="0"/>
          <c:showSerName val="0"/>
          <c:showPercent val="0"/>
          <c:showBubbleSize val="0"/>
        </c:dLbls>
        <c:gapWidth val="75"/>
        <c:shape val="box"/>
        <c:axId val="99886592"/>
        <c:axId val="99888128"/>
        <c:axId val="0"/>
      </c:bar3DChart>
      <c:catAx>
        <c:axId val="99886592"/>
        <c:scaling>
          <c:orientation val="minMax"/>
        </c:scaling>
        <c:delete val="0"/>
        <c:axPos val="b"/>
        <c:numFmt formatCode="General" sourceLinked="1"/>
        <c:majorTickMark val="none"/>
        <c:minorTickMark val="none"/>
        <c:tickLblPos val="low"/>
        <c:txPr>
          <a:bodyPr/>
          <a:lstStyle/>
          <a:p>
            <a:pPr>
              <a:defRPr b="1">
                <a:latin typeface="Times New Roman" pitchFamily="18" charset="0"/>
                <a:cs typeface="Times New Roman" pitchFamily="18" charset="0"/>
              </a:defRPr>
            </a:pPr>
            <a:endParaRPr lang="ru-RU"/>
          </a:p>
        </c:txPr>
        <c:crossAx val="99888128"/>
        <c:crosses val="autoZero"/>
        <c:auto val="1"/>
        <c:lblAlgn val="ctr"/>
        <c:lblOffset val="200"/>
        <c:noMultiLvlLbl val="0"/>
      </c:catAx>
      <c:valAx>
        <c:axId val="99888128"/>
        <c:scaling>
          <c:orientation val="minMax"/>
          <c:max val="350"/>
          <c:min val="0"/>
        </c:scaling>
        <c:delete val="0"/>
        <c:axPos val="l"/>
        <c:majorGridlines/>
        <c:title>
          <c:tx>
            <c:rich>
              <a:bodyPr rot="0" vert="horz"/>
              <a:lstStyle/>
              <a:p>
                <a:pPr>
                  <a:defRPr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млрд. рублей</a:t>
                </a:r>
              </a:p>
            </c:rich>
          </c:tx>
          <c:layout>
            <c:manualLayout>
              <c:xMode val="edge"/>
              <c:yMode val="edge"/>
              <c:x val="1.8792814449595668E-2"/>
              <c:y val="4.3221892345424062E-2"/>
            </c:manualLayout>
          </c:layout>
          <c:overlay val="0"/>
        </c:title>
        <c:numFmt formatCode="0.00"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99886592"/>
        <c:crosses val="autoZero"/>
        <c:crossBetween val="between"/>
        <c:majorUnit val="100"/>
      </c:valAx>
      <c:spPr>
        <a:noFill/>
        <a:ln w="25400">
          <a:noFill/>
        </a:ln>
      </c:spPr>
    </c:plotArea>
    <c:legend>
      <c:legendPos val="b"/>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spPr>
        <a:solidFill>
          <a:srgbClr val="C0504D">
            <a:lumMod val="40000"/>
            <a:lumOff val="60000"/>
          </a:srgbClr>
        </a:solidFill>
        <a:ln>
          <a:solidFill>
            <a:schemeClr val="tx1">
              <a:lumMod val="95000"/>
              <a:lumOff val="5000"/>
            </a:schemeClr>
          </a:solidFill>
        </a:ln>
      </c:spPr>
    </c:floor>
    <c:sideWall>
      <c:thickness val="0"/>
      <c:spPr>
        <a:solidFill>
          <a:srgbClr val="F79646">
            <a:lumMod val="20000"/>
            <a:lumOff val="80000"/>
          </a:srgbClr>
        </a:solidFill>
      </c:spPr>
    </c:sideWall>
    <c:backWall>
      <c:thickness val="0"/>
      <c:spPr>
        <a:solidFill>
          <a:srgbClr val="F79646">
            <a:lumMod val="20000"/>
            <a:lumOff val="80000"/>
          </a:srgbClr>
        </a:solidFill>
      </c:spPr>
    </c:backWall>
    <c:plotArea>
      <c:layout>
        <c:manualLayout>
          <c:layoutTarget val="inner"/>
          <c:xMode val="edge"/>
          <c:yMode val="edge"/>
          <c:x val="0"/>
          <c:y val="5.232764559527673E-2"/>
          <c:w val="0.9285196930781815"/>
          <c:h val="0.82162664449552503"/>
        </c:manualLayout>
      </c:layout>
      <c:bar3DChart>
        <c:barDir val="col"/>
        <c:grouping val="standard"/>
        <c:varyColors val="0"/>
        <c:ser>
          <c:idx val="0"/>
          <c:order val="0"/>
          <c:tx>
            <c:strRef>
              <c:f>Лист1!$B$1</c:f>
              <c:strCache>
                <c:ptCount val="1"/>
                <c:pt idx="0">
                  <c:v>Налоговые, неналоговые доходы</c:v>
                </c:pt>
              </c:strCache>
            </c:strRef>
          </c:tx>
          <c:spPr>
            <a:solidFill>
              <a:srgbClr val="C00000"/>
            </a:solidFill>
            <a:ln w="19050">
              <a:solidFill>
                <a:sysClr val="windowText" lastClr="000000">
                  <a:lumMod val="95000"/>
                  <a:lumOff val="5000"/>
                </a:sys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2.8716885121365957E-2"/>
                  <c:y val="3.356847205379154E-4"/>
                </c:manualLayout>
              </c:layout>
              <c:showLegendKey val="0"/>
              <c:showVal val="1"/>
              <c:showCatName val="0"/>
              <c:showSerName val="0"/>
              <c:showPercent val="0"/>
              <c:showBubbleSize val="0"/>
            </c:dLbl>
            <c:dLbl>
              <c:idx val="1"/>
              <c:layout>
                <c:manualLayout>
                  <c:x val="7.6215970706571328E-3"/>
                  <c:y val="-1.4809753986825399E-3"/>
                </c:manualLayout>
              </c:layout>
              <c:showLegendKey val="0"/>
              <c:showVal val="1"/>
              <c:showCatName val="0"/>
              <c:showSerName val="0"/>
              <c:showPercent val="0"/>
              <c:showBubbleSize val="0"/>
            </c:dLbl>
            <c:dLbl>
              <c:idx val="2"/>
              <c:layout>
                <c:manualLayout>
                  <c:x val="-1.0624093121591079E-2"/>
                  <c:y val="0"/>
                </c:manualLayout>
              </c:layout>
              <c:showLegendKey val="0"/>
              <c:showVal val="1"/>
              <c:showCatName val="0"/>
              <c:showSerName val="0"/>
              <c:showPercent val="0"/>
              <c:showBubbleSize val="0"/>
            </c:dLbl>
            <c:dLbl>
              <c:idx val="3"/>
              <c:layout>
                <c:manualLayout>
                  <c:x val="-1.1301121816128266E-2"/>
                  <c:y val="-2.8922631959508315E-3"/>
                </c:manualLayout>
              </c:layout>
              <c:showLegendKey val="0"/>
              <c:showVal val="1"/>
              <c:showCatName val="0"/>
              <c:showSerName val="0"/>
              <c:showPercent val="0"/>
              <c:showBubbleSize val="0"/>
            </c:dLbl>
            <c:dLbl>
              <c:idx val="4"/>
              <c:layout>
                <c:manualLayout>
                  <c:x val="-2.3148078925050143E-2"/>
                  <c:y val="-2.152344839758371E-3"/>
                </c:manualLayout>
              </c:layout>
              <c:showLegendKey val="0"/>
              <c:showVal val="1"/>
              <c:showCatName val="0"/>
              <c:showSerName val="0"/>
              <c:showPercent val="0"/>
              <c:showBubbleSize val="0"/>
            </c:dLbl>
            <c:dLbl>
              <c:idx val="5"/>
              <c:layout>
                <c:manualLayout>
                  <c:x val="-3.4853392177432642E-2"/>
                  <c:y val="6.8605849431510862E-3"/>
                </c:manualLayout>
              </c:layout>
              <c:showLegendKey val="0"/>
              <c:showVal val="1"/>
              <c:showCatName val="0"/>
              <c:showSerName val="0"/>
              <c:showPercent val="0"/>
              <c:showBubbleSize val="0"/>
            </c:dLbl>
            <c:dLbl>
              <c:idx val="6"/>
              <c:layout>
                <c:manualLayout>
                  <c:x val="-9.2592637252655822E-3"/>
                  <c:y val="-3.3591245779743907E-4"/>
                </c:manualLayout>
              </c:layout>
              <c:showLegendKey val="0"/>
              <c:showVal val="1"/>
              <c:showCatName val="0"/>
              <c:showSerName val="0"/>
              <c:showPercent val="0"/>
              <c:showBubbleSize val="0"/>
            </c:dLbl>
            <c:spPr>
              <a:solidFill>
                <a:srgbClr val="C0504D">
                  <a:lumMod val="40000"/>
                  <a:lumOff val="60000"/>
                </a:srgb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2013</c:v>
                </c:pt>
                <c:pt idx="1">
                  <c:v>2014</c:v>
                </c:pt>
                <c:pt idx="2">
                  <c:v>2015</c:v>
                </c:pt>
                <c:pt idx="3">
                  <c:v>2016</c:v>
                </c:pt>
                <c:pt idx="4">
                  <c:v>2017</c:v>
                </c:pt>
                <c:pt idx="5">
                  <c:v>2018 (прогноз)</c:v>
                </c:pt>
                <c:pt idx="6">
                  <c:v>2019 (прогноз)</c:v>
                </c:pt>
                <c:pt idx="7">
                  <c:v>2020 прогноз)</c:v>
                </c:pt>
              </c:strCache>
            </c:strRef>
          </c:cat>
          <c:val>
            <c:numRef>
              <c:f>Лист1!$B$2:$B$9</c:f>
              <c:numCache>
                <c:formatCode>General</c:formatCode>
                <c:ptCount val="8"/>
                <c:pt idx="0">
                  <c:v>26541</c:v>
                </c:pt>
                <c:pt idx="1">
                  <c:v>28781.3</c:v>
                </c:pt>
                <c:pt idx="2" formatCode="0.0">
                  <c:v>31969.599999999999</c:v>
                </c:pt>
                <c:pt idx="3">
                  <c:v>35267.699999999997</c:v>
                </c:pt>
                <c:pt idx="4">
                  <c:v>36434.800000000003</c:v>
                </c:pt>
                <c:pt idx="5" formatCode="0.0">
                  <c:v>37523.300000000003</c:v>
                </c:pt>
                <c:pt idx="6">
                  <c:v>39442.400000000001</c:v>
                </c:pt>
                <c:pt idx="7">
                  <c:v>41357.300000000003</c:v>
                </c:pt>
              </c:numCache>
            </c:numRef>
          </c:val>
        </c:ser>
        <c:ser>
          <c:idx val="1"/>
          <c:order val="1"/>
          <c:tx>
            <c:strRef>
              <c:f>Лист1!$C$1</c:f>
              <c:strCache>
                <c:ptCount val="1"/>
                <c:pt idx="0">
                  <c:v>Столбец1</c:v>
                </c:pt>
              </c:strCache>
            </c:strRef>
          </c:tx>
          <c:spPr>
            <a:solidFill>
              <a:srgbClr val="FFFF00"/>
            </a:solidFill>
          </c:spPr>
          <c:invertIfNegative val="0"/>
          <c:dLbls>
            <c:dLbl>
              <c:idx val="1"/>
              <c:layout>
                <c:manualLayout>
                  <c:x val="2.0833333333333332E-2"/>
                  <c:y val="0"/>
                </c:manualLayout>
              </c:layout>
              <c:showLegendKey val="0"/>
              <c:showVal val="1"/>
              <c:showCatName val="0"/>
              <c:showSerName val="0"/>
              <c:showPercent val="0"/>
              <c:showBubbleSize val="0"/>
            </c:dLbl>
            <c:dLbl>
              <c:idx val="2"/>
              <c:layout>
                <c:manualLayout>
                  <c:x val="3.4722222222222224E-2"/>
                  <c:y val="7.9365079365079361E-3"/>
                </c:manualLayout>
              </c:layout>
              <c:showLegendKey val="0"/>
              <c:showVal val="1"/>
              <c:showCatName val="0"/>
              <c:showSerName val="0"/>
              <c:showPercent val="0"/>
              <c:showBubbleSize val="0"/>
            </c:dLbl>
            <c:dLbl>
              <c:idx val="3"/>
              <c:layout>
                <c:manualLayout>
                  <c:x val="4.6296296296296294E-2"/>
                  <c:y val="2.3809523809523808E-2"/>
                </c:manualLayout>
              </c:layout>
              <c:showLegendKey val="0"/>
              <c:showVal val="1"/>
              <c:showCatName val="0"/>
              <c:showSerName val="0"/>
              <c:showPercent val="0"/>
              <c:showBubbleSize val="0"/>
            </c:dLbl>
            <c:dLbl>
              <c:idx val="4"/>
              <c:layout>
                <c:manualLayout>
                  <c:x val="7.1759259259259259E-2"/>
                  <c:y val="2.3809523809523808E-2"/>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2013</c:v>
                </c:pt>
                <c:pt idx="1">
                  <c:v>2014</c:v>
                </c:pt>
                <c:pt idx="2">
                  <c:v>2015</c:v>
                </c:pt>
                <c:pt idx="3">
                  <c:v>2016</c:v>
                </c:pt>
                <c:pt idx="4">
                  <c:v>2017</c:v>
                </c:pt>
                <c:pt idx="5">
                  <c:v>2018 (прогноз)</c:v>
                </c:pt>
                <c:pt idx="6">
                  <c:v>2019 (прогноз)</c:v>
                </c:pt>
                <c:pt idx="7">
                  <c:v>2020 прогноз)</c:v>
                </c:pt>
              </c:strCache>
            </c:strRef>
          </c:cat>
          <c:val>
            <c:numRef>
              <c:f>Лист1!$C$2:$C$9</c:f>
              <c:numCache>
                <c:formatCode>General</c:formatCode>
                <c:ptCount val="8"/>
              </c:numCache>
            </c:numRef>
          </c:val>
        </c:ser>
        <c:ser>
          <c:idx val="2"/>
          <c:order val="2"/>
          <c:tx>
            <c:strRef>
              <c:f>Лист1!$D$1</c:f>
              <c:strCache>
                <c:ptCount val="1"/>
                <c:pt idx="0">
                  <c:v>Ряд 3</c:v>
                </c:pt>
              </c:strCache>
            </c:strRef>
          </c:tx>
          <c:invertIfNegative val="0"/>
          <c:cat>
            <c:strRef>
              <c:f>Лист1!$A$2:$A$9</c:f>
              <c:strCache>
                <c:ptCount val="8"/>
                <c:pt idx="0">
                  <c:v>2013</c:v>
                </c:pt>
                <c:pt idx="1">
                  <c:v>2014</c:v>
                </c:pt>
                <c:pt idx="2">
                  <c:v>2015</c:v>
                </c:pt>
                <c:pt idx="3">
                  <c:v>2016</c:v>
                </c:pt>
                <c:pt idx="4">
                  <c:v>2017</c:v>
                </c:pt>
                <c:pt idx="5">
                  <c:v>2018 (прогноз)</c:v>
                </c:pt>
                <c:pt idx="6">
                  <c:v>2019 (прогноз)</c:v>
                </c:pt>
                <c:pt idx="7">
                  <c:v>2020 прогноз)</c:v>
                </c:pt>
              </c:strCache>
            </c:strRef>
          </c:cat>
          <c:val>
            <c:numRef>
              <c:f>Лист1!$D$2:$D$9</c:f>
            </c:numRef>
          </c:val>
        </c:ser>
        <c:dLbls>
          <c:showLegendKey val="0"/>
          <c:showVal val="0"/>
          <c:showCatName val="0"/>
          <c:showSerName val="0"/>
          <c:showPercent val="0"/>
          <c:showBubbleSize val="0"/>
        </c:dLbls>
        <c:gapWidth val="150"/>
        <c:shape val="cylinder"/>
        <c:axId val="108332544"/>
        <c:axId val="108334080"/>
        <c:axId val="107935488"/>
      </c:bar3DChart>
      <c:catAx>
        <c:axId val="108332544"/>
        <c:scaling>
          <c:orientation val="minMax"/>
        </c:scaling>
        <c:delete val="0"/>
        <c:axPos val="b"/>
        <c:majorTickMark val="out"/>
        <c:minorTickMark val="none"/>
        <c:tickLblPos val="nextTo"/>
        <c:spPr>
          <a:ln>
            <a:solidFill>
              <a:srgbClr val="0070C0"/>
            </a:solidFill>
          </a:ln>
        </c:spPr>
        <c:txPr>
          <a:bodyPr/>
          <a:lstStyle/>
          <a:p>
            <a:pPr>
              <a:defRPr b="1" baseline="0">
                <a:latin typeface="Times New Roman" pitchFamily="18" charset="0"/>
              </a:defRPr>
            </a:pPr>
            <a:endParaRPr lang="ru-RU"/>
          </a:p>
        </c:txPr>
        <c:crossAx val="108334080"/>
        <c:crosses val="autoZero"/>
        <c:auto val="1"/>
        <c:lblAlgn val="ctr"/>
        <c:lblOffset val="100"/>
        <c:noMultiLvlLbl val="0"/>
      </c:catAx>
      <c:valAx>
        <c:axId val="108334080"/>
        <c:scaling>
          <c:orientation val="minMax"/>
        </c:scaling>
        <c:delete val="0"/>
        <c:axPos val="r"/>
        <c:majorGridlines>
          <c:spPr>
            <a:ln>
              <a:solidFill>
                <a:srgbClr val="8064A2">
                  <a:lumMod val="50000"/>
                </a:srgbClr>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108332544"/>
        <c:crosses val="max"/>
        <c:crossBetween val="between"/>
      </c:valAx>
      <c:serAx>
        <c:axId val="107935488"/>
        <c:scaling>
          <c:orientation val="minMax"/>
        </c:scaling>
        <c:delete val="1"/>
        <c:axPos val="b"/>
        <c:majorTickMark val="out"/>
        <c:minorTickMark val="none"/>
        <c:tickLblPos val="nextTo"/>
        <c:crossAx val="108334080"/>
        <c:crosses val="autoZero"/>
      </c:serAx>
      <c:spPr>
        <a:noFill/>
        <a:ln>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ysClr val="window" lastClr="FFFFFF"/>
        </a:solidFill>
      </c:spPr>
    </c:floor>
    <c:sideWall>
      <c:thickness val="0"/>
      <c:spPr>
        <a:solidFill>
          <a:srgbClr val="9BBB59">
            <a:lumMod val="20000"/>
            <a:lumOff val="80000"/>
          </a:srgbClr>
        </a:solidFill>
      </c:spPr>
    </c:sideWall>
    <c:backWall>
      <c:thickness val="0"/>
      <c:spPr>
        <a:solidFill>
          <a:srgbClr val="9BBB59">
            <a:lumMod val="20000"/>
            <a:lumOff val="80000"/>
          </a:srgbClr>
        </a:solidFill>
      </c:spPr>
    </c:backWall>
    <c:plotArea>
      <c:layout>
        <c:manualLayout>
          <c:layoutTarget val="inner"/>
          <c:xMode val="edge"/>
          <c:yMode val="edge"/>
          <c:x val="8.1035834062408871E-2"/>
          <c:y val="2.0975304223335718E-2"/>
          <c:w val="0.91896416593759112"/>
          <c:h val="0.86196969696969694"/>
        </c:manualLayout>
      </c:layout>
      <c:bar3DChart>
        <c:barDir val="col"/>
        <c:grouping val="stacked"/>
        <c:varyColors val="0"/>
        <c:ser>
          <c:idx val="0"/>
          <c:order val="0"/>
          <c:tx>
            <c:strRef>
              <c:f>Лист1!$B$1</c:f>
              <c:strCache>
                <c:ptCount val="1"/>
                <c:pt idx="0">
                  <c:v>Столбец1</c:v>
                </c:pt>
              </c:strCache>
            </c:strRef>
          </c:tx>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a:ln w="57150">
              <a:solidFill>
                <a:srgbClr val="EEECE1">
                  <a:lumMod val="50000"/>
                </a:srgbClr>
              </a:solidFill>
            </a:ln>
          </c:spPr>
          <c:invertIfNegative val="0"/>
          <c:dPt>
            <c:idx val="0"/>
            <c:invertIfNegative val="0"/>
            <c:bubble3D val="0"/>
          </c:dPt>
          <c:dLbls>
            <c:dLbl>
              <c:idx val="0"/>
              <c:layout>
                <c:manualLayout>
                  <c:x val="3.9351851851851853E-2"/>
                  <c:y val="-0.10858595800524934"/>
                </c:manualLayout>
              </c:layout>
              <c:showLegendKey val="0"/>
              <c:showVal val="1"/>
              <c:showCatName val="0"/>
              <c:showSerName val="0"/>
              <c:showPercent val="0"/>
              <c:showBubbleSize val="0"/>
            </c:dLbl>
            <c:dLbl>
              <c:idx val="1"/>
              <c:layout>
                <c:manualLayout>
                  <c:x val="4.8611111111111112E-2"/>
                  <c:y val="-0.14346874254354569"/>
                </c:manualLayout>
              </c:layout>
              <c:showLegendKey val="0"/>
              <c:showVal val="1"/>
              <c:showCatName val="0"/>
              <c:showSerName val="0"/>
              <c:showPercent val="0"/>
              <c:showBubbleSize val="0"/>
            </c:dLbl>
            <c:dLbl>
              <c:idx val="2"/>
              <c:layout>
                <c:manualLayout>
                  <c:x val="2.7777777777777776E-2"/>
                  <c:y val="-0.18674003817704604"/>
                </c:manualLayout>
              </c:layout>
              <c:showLegendKey val="0"/>
              <c:showVal val="1"/>
              <c:showCatName val="0"/>
              <c:showSerName val="0"/>
              <c:showPercent val="0"/>
              <c:showBubbleSize val="0"/>
            </c:dLbl>
            <c:dLbl>
              <c:idx val="3"/>
              <c:layout>
                <c:manualLayout>
                  <c:x val="3.0092592592592591E-2"/>
                  <c:y val="-0.18040712240515391"/>
                </c:manualLayout>
              </c:layout>
              <c:showLegendKey val="0"/>
              <c:showVal val="1"/>
              <c:showCatName val="0"/>
              <c:showSerName val="0"/>
              <c:showPercent val="0"/>
              <c:showBubbleSize val="0"/>
            </c:dLbl>
            <c:dLbl>
              <c:idx val="4"/>
              <c:layout>
                <c:manualLayout>
                  <c:x val="3.0092592592592591E-2"/>
                  <c:y val="-0.1934469696969697"/>
                </c:manualLayout>
              </c:layout>
              <c:showLegendKey val="0"/>
              <c:showVal val="1"/>
              <c:showCatName val="0"/>
              <c:showSerName val="0"/>
              <c:showPercent val="0"/>
              <c:showBubbleSize val="0"/>
            </c:dLbl>
            <c:dLbl>
              <c:idx val="5"/>
              <c:layout>
                <c:manualLayout>
                  <c:x val="2.7777777777777776E-2"/>
                  <c:y val="-0.18208333333333335"/>
                </c:manualLayout>
              </c:layout>
              <c:showLegendKey val="0"/>
              <c:showVal val="1"/>
              <c:showCatName val="0"/>
              <c:showSerName val="0"/>
              <c:showPercent val="0"/>
              <c:showBubbleSize val="0"/>
            </c:dLbl>
            <c:dLbl>
              <c:idx val="6"/>
              <c:layout>
                <c:manualLayout>
                  <c:x val="2.7777777777777776E-2"/>
                  <c:y val="-0.18181818181818182"/>
                </c:manualLayout>
              </c:layout>
              <c:showLegendKey val="0"/>
              <c:showVal val="1"/>
              <c:showCatName val="0"/>
              <c:showSerName val="0"/>
              <c:showPercent val="0"/>
              <c:showBubbleSize val="0"/>
            </c:dLbl>
            <c:spPr>
              <a:solidFill>
                <a:srgbClr val="9BBB59">
                  <a:lumMod val="40000"/>
                  <a:lumOff val="60000"/>
                </a:srgbClr>
              </a:solidFill>
            </c:spPr>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7231.9</c:v>
                </c:pt>
                <c:pt idx="1">
                  <c:v>8120.8</c:v>
                </c:pt>
                <c:pt idx="2">
                  <c:v>9970.9</c:v>
                </c:pt>
                <c:pt idx="3">
                  <c:v>9675.4</c:v>
                </c:pt>
                <c:pt idx="4" formatCode="0.0">
                  <c:v>10274.5</c:v>
                </c:pt>
                <c:pt idx="5">
                  <c:v>10402.200000000001</c:v>
                </c:pt>
                <c:pt idx="6">
                  <c:v>10788.2</c:v>
                </c:pt>
              </c:numCache>
            </c:numRef>
          </c:val>
        </c:ser>
        <c:dLbls>
          <c:showLegendKey val="0"/>
          <c:showVal val="0"/>
          <c:showCatName val="0"/>
          <c:showSerName val="0"/>
          <c:showPercent val="0"/>
          <c:showBubbleSize val="0"/>
        </c:dLbls>
        <c:gapWidth val="150"/>
        <c:shape val="box"/>
        <c:axId val="108381312"/>
        <c:axId val="108382848"/>
        <c:axId val="0"/>
      </c:bar3DChart>
      <c:catAx>
        <c:axId val="108381312"/>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anose="02020603050405020304" pitchFamily="18" charset="0"/>
                <a:cs typeface="Times New Roman" panose="02020603050405020304" pitchFamily="18" charset="0"/>
              </a:defRPr>
            </a:pPr>
            <a:endParaRPr lang="ru-RU"/>
          </a:p>
        </c:txPr>
        <c:crossAx val="108382848"/>
        <c:crossesAt val="0"/>
        <c:auto val="1"/>
        <c:lblAlgn val="ctr"/>
        <c:lblOffset val="100"/>
        <c:noMultiLvlLbl val="0"/>
      </c:catAx>
      <c:valAx>
        <c:axId val="108382848"/>
        <c:scaling>
          <c:orientation val="minMax"/>
          <c:max val="11000"/>
          <c:min val="1000"/>
        </c:scaling>
        <c:delete val="0"/>
        <c:axPos val="l"/>
        <c:majorGridlines/>
        <c:numFmt formatCode="General" sourceLinked="0"/>
        <c:majorTickMark val="out"/>
        <c:minorTickMark val="none"/>
        <c:tickLblPos val="nextTo"/>
        <c:txPr>
          <a:bodyPr/>
          <a:lstStyle/>
          <a:p>
            <a:pPr>
              <a:defRPr sz="1000" b="1">
                <a:solidFill>
                  <a:schemeClr val="tx1"/>
                </a:solidFill>
                <a:latin typeface="Times New Roman" panose="02020603050405020304" pitchFamily="18" charset="0"/>
                <a:cs typeface="Times New Roman" panose="02020603050405020304" pitchFamily="18" charset="0"/>
              </a:defRPr>
            </a:pPr>
            <a:endParaRPr lang="ru-RU"/>
          </a:p>
        </c:txPr>
        <c:crossAx val="108381312"/>
        <c:crosses val="autoZero"/>
        <c:crossBetween val="between"/>
        <c:majorUnit val="1000"/>
      </c:valAx>
      <c:spPr>
        <a:noFill/>
      </c:spPr>
    </c:plotArea>
    <c:plotVisOnly val="1"/>
    <c:dispBlanksAs val="gap"/>
    <c:showDLblsOverMax val="0"/>
  </c:chart>
  <c:spPr>
    <a:no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0"/>
      <c:rAngAx val="0"/>
      <c:perspective val="30"/>
    </c:view3D>
    <c:floor>
      <c:thickness val="0"/>
      <c:spPr>
        <a:solidFill>
          <a:srgbClr val="F79646">
            <a:lumMod val="40000"/>
            <a:lumOff val="60000"/>
          </a:srgbClr>
        </a:solidFill>
        <a:ln>
          <a:solidFill>
            <a:srgbClr val="F79646">
              <a:lumMod val="75000"/>
            </a:srgbClr>
          </a:solidFill>
        </a:ln>
      </c:spPr>
    </c:floor>
    <c:sideWall>
      <c:thickness val="0"/>
      <c:spPr>
        <a:solidFill>
          <a:srgbClr val="F79646">
            <a:lumMod val="20000"/>
            <a:lumOff val="80000"/>
          </a:srgbClr>
        </a:solidFill>
      </c:spPr>
    </c:sideWall>
    <c:backWall>
      <c:thickness val="0"/>
      <c:spPr>
        <a:solidFill>
          <a:srgbClr val="F79646">
            <a:lumMod val="20000"/>
            <a:lumOff val="80000"/>
          </a:srgbClr>
        </a:solidFill>
      </c:spPr>
    </c:backWall>
    <c:plotArea>
      <c:layout>
        <c:manualLayout>
          <c:layoutTarget val="inner"/>
          <c:xMode val="edge"/>
          <c:yMode val="edge"/>
          <c:x val="8.5176351131291073E-2"/>
          <c:y val="2.3809523809523808E-2"/>
          <c:w val="0.91161854768153983"/>
          <c:h val="0.85539682539682538"/>
        </c:manualLayout>
      </c:layout>
      <c:bar3DChart>
        <c:barDir val="col"/>
        <c:grouping val="standard"/>
        <c:varyColors val="0"/>
        <c:ser>
          <c:idx val="0"/>
          <c:order val="0"/>
          <c:tx>
            <c:strRef>
              <c:f>Лист1!$B$1</c:f>
              <c:strCache>
                <c:ptCount val="1"/>
                <c:pt idx="0">
                  <c:v>Ряд 1</c:v>
                </c:pt>
              </c:strCache>
            </c:strRef>
          </c:tx>
          <c:spPr>
            <a:solidFill>
              <a:srgbClr val="F79646">
                <a:lumMod val="75000"/>
              </a:srgbClr>
            </a:solidFill>
            <a:ln w="19050">
              <a:solidFill>
                <a:srgbClr val="F79646">
                  <a:lumMod val="50000"/>
                </a:srgbClr>
              </a:solidFill>
            </a:ln>
          </c:spPr>
          <c:invertIfNegative val="0"/>
          <c:dLbls>
            <c:dLbl>
              <c:idx val="0"/>
              <c:layout>
                <c:manualLayout>
                  <c:x val="3.5033487892838742E-2"/>
                  <c:y val="-3.9685664291963501E-3"/>
                </c:manualLayout>
              </c:layout>
              <c:showLegendKey val="0"/>
              <c:showVal val="1"/>
              <c:showCatName val="0"/>
              <c:showSerName val="0"/>
              <c:showPercent val="0"/>
              <c:showBubbleSize val="0"/>
            </c:dLbl>
            <c:dLbl>
              <c:idx val="1"/>
              <c:layout>
                <c:manualLayout>
                  <c:x val="5.151983513652756E-2"/>
                  <c:y val="3.968253968253968E-3"/>
                </c:manualLayout>
              </c:layout>
              <c:showLegendKey val="0"/>
              <c:showVal val="1"/>
              <c:showCatName val="0"/>
              <c:showSerName val="0"/>
              <c:showPercent val="0"/>
              <c:showBubbleSize val="0"/>
            </c:dLbl>
            <c:dLbl>
              <c:idx val="2"/>
              <c:layout>
                <c:manualLayout>
                  <c:x val="6.2195880847197037E-2"/>
                  <c:y val="3.967941507311586E-3"/>
                </c:manualLayout>
              </c:layout>
              <c:showLegendKey val="0"/>
              <c:showVal val="1"/>
              <c:showCatName val="0"/>
              <c:showSerName val="0"/>
              <c:showPercent val="0"/>
              <c:showBubbleSize val="0"/>
            </c:dLbl>
            <c:dLbl>
              <c:idx val="3"/>
              <c:layout>
                <c:manualLayout>
                  <c:x val="6.1823802163833076E-2"/>
                  <c:y val="7.9365079365079361E-3"/>
                </c:manualLayout>
              </c:layout>
              <c:showLegendKey val="0"/>
              <c:showVal val="1"/>
              <c:showCatName val="0"/>
              <c:showSerName val="0"/>
              <c:showPercent val="0"/>
              <c:showBubbleSize val="0"/>
            </c:dLbl>
            <c:dLbl>
              <c:idx val="4"/>
              <c:layout>
                <c:manualLayout>
                  <c:x val="7.5504711833741023E-2"/>
                  <c:y val="3.5713973253343335E-2"/>
                </c:manualLayout>
              </c:layout>
              <c:showLegendKey val="0"/>
              <c:showVal val="1"/>
              <c:showCatName val="0"/>
              <c:showSerName val="0"/>
              <c:showPercent val="0"/>
              <c:showBubbleSize val="0"/>
            </c:dLbl>
            <c:dLbl>
              <c:idx val="5"/>
              <c:layout>
                <c:manualLayout>
                  <c:x val="6.5400171191893133E-2"/>
                  <c:y val="2.7777777777777776E-2"/>
                </c:manualLayout>
              </c:layout>
              <c:showLegendKey val="0"/>
              <c:showVal val="1"/>
              <c:showCatName val="0"/>
              <c:showSerName val="0"/>
              <c:showPercent val="0"/>
              <c:showBubbleSize val="0"/>
            </c:dLbl>
            <c:dLbl>
              <c:idx val="6"/>
              <c:layout>
                <c:manualLayout>
                  <c:x val="7.0066975785677485E-2"/>
                  <c:y val="2.7777777777777776E-2"/>
                </c:manualLayout>
              </c:layout>
              <c:showLegendKey val="0"/>
              <c:showVal val="1"/>
              <c:showCatName val="0"/>
              <c:showSerName val="0"/>
              <c:showPercent val="0"/>
              <c:showBubbleSize val="0"/>
            </c:dLbl>
            <c:dLbl>
              <c:idx val="7"/>
              <c:layout>
                <c:manualLayout>
                  <c:x val="6.8006182380216385E-2"/>
                  <c:y val="4.7619047619047616E-2"/>
                </c:manualLayout>
              </c:layout>
              <c:showLegendKey val="0"/>
              <c:showVal val="1"/>
              <c:showCatName val="0"/>
              <c:showSerName val="0"/>
              <c:showPercent val="0"/>
              <c:showBubbleSize val="0"/>
            </c:dLbl>
            <c:spPr>
              <a:solidFill>
                <a:srgbClr val="4BACC6">
                  <a:lumMod val="20000"/>
                  <a:lumOff val="80000"/>
                </a:srgbClr>
              </a:solidFill>
              <a:effectLst>
                <a:innerShdw blurRad="63500" dist="50800" dir="10800000">
                  <a:prstClr val="black">
                    <a:alpha val="50000"/>
                  </a:prstClr>
                </a:innerShdw>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Лист1!$A$2:$A$9</c:f>
              <c:strCache>
                <c:ptCount val="8"/>
                <c:pt idx="0">
                  <c:v>2013 отчет</c:v>
                </c:pt>
                <c:pt idx="1">
                  <c:v>2014 отчет</c:v>
                </c:pt>
                <c:pt idx="2">
                  <c:v>2015 отчет</c:v>
                </c:pt>
                <c:pt idx="3">
                  <c:v>2016 отчет</c:v>
                </c:pt>
                <c:pt idx="4">
                  <c:v>2017 ожид.исп.</c:v>
                </c:pt>
                <c:pt idx="5">
                  <c:v>2018 прогноз</c:v>
                </c:pt>
                <c:pt idx="6">
                  <c:v>2019 прогноз</c:v>
                </c:pt>
                <c:pt idx="7">
                  <c:v>2020 прогноз</c:v>
                </c:pt>
              </c:strCache>
            </c:strRef>
          </c:cat>
          <c:val>
            <c:numRef>
              <c:f>Лист1!$B$2:$B$9</c:f>
              <c:numCache>
                <c:formatCode>General</c:formatCode>
                <c:ptCount val="8"/>
                <c:pt idx="0">
                  <c:v>8482.1</c:v>
                </c:pt>
                <c:pt idx="1">
                  <c:v>10511.9</c:v>
                </c:pt>
                <c:pt idx="2">
                  <c:v>10617.5</c:v>
                </c:pt>
                <c:pt idx="3">
                  <c:v>10520.2</c:v>
                </c:pt>
                <c:pt idx="4">
                  <c:v>12004.6</c:v>
                </c:pt>
                <c:pt idx="5">
                  <c:v>11846.8</c:v>
                </c:pt>
                <c:pt idx="6">
                  <c:v>12647.6</c:v>
                </c:pt>
                <c:pt idx="7">
                  <c:v>13555.7</c:v>
                </c:pt>
              </c:numCache>
            </c:numRef>
          </c:val>
        </c:ser>
        <c:dLbls>
          <c:showLegendKey val="0"/>
          <c:showVal val="0"/>
          <c:showCatName val="0"/>
          <c:showSerName val="0"/>
          <c:showPercent val="0"/>
          <c:showBubbleSize val="0"/>
        </c:dLbls>
        <c:gapWidth val="150"/>
        <c:shape val="pyramid"/>
        <c:axId val="108468864"/>
        <c:axId val="108470656"/>
        <c:axId val="107937280"/>
      </c:bar3DChart>
      <c:catAx>
        <c:axId val="108468864"/>
        <c:scaling>
          <c:orientation val="minMax"/>
        </c:scaling>
        <c:delete val="0"/>
        <c:axPos val="b"/>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ru-RU"/>
          </a:p>
        </c:txPr>
        <c:crossAx val="108470656"/>
        <c:crosses val="autoZero"/>
        <c:auto val="1"/>
        <c:lblAlgn val="ctr"/>
        <c:lblOffset val="100"/>
        <c:noMultiLvlLbl val="0"/>
      </c:catAx>
      <c:valAx>
        <c:axId val="108470656"/>
        <c:scaling>
          <c:orientation val="minMax"/>
        </c:scaling>
        <c:delete val="0"/>
        <c:axPos val="l"/>
        <c:majorGridlines>
          <c:spPr>
            <a:ln>
              <a:solidFill>
                <a:schemeClr val="tx1"/>
              </a:solidFill>
            </a:ln>
          </c:spPr>
        </c:majorGridlines>
        <c:numFmt formatCode="General" sourceLinked="1"/>
        <c:majorTickMark val="out"/>
        <c:minorTickMark val="none"/>
        <c:tickLblPos val="nextTo"/>
        <c:spPr>
          <a:noFill/>
        </c:spPr>
        <c:txPr>
          <a:bodyPr/>
          <a:lstStyle/>
          <a:p>
            <a:pPr>
              <a:defRPr b="1">
                <a:latin typeface="Times New Roman" panose="02020603050405020304" pitchFamily="18" charset="0"/>
                <a:cs typeface="Times New Roman" panose="02020603050405020304" pitchFamily="18" charset="0"/>
              </a:defRPr>
            </a:pPr>
            <a:endParaRPr lang="ru-RU"/>
          </a:p>
        </c:txPr>
        <c:crossAx val="108468864"/>
        <c:crosses val="autoZero"/>
        <c:crossBetween val="between"/>
      </c:valAx>
      <c:serAx>
        <c:axId val="107937280"/>
        <c:scaling>
          <c:orientation val="minMax"/>
        </c:scaling>
        <c:delete val="1"/>
        <c:axPos val="b"/>
        <c:majorTickMark val="out"/>
        <c:minorTickMark val="none"/>
        <c:tickLblPos val="nextTo"/>
        <c:crossAx val="108470656"/>
        <c:crosses val="autoZero"/>
      </c:ser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60"/>
      <c:rAngAx val="0"/>
      <c:perspective val="0"/>
    </c:view3D>
    <c:floor>
      <c:thickness val="0"/>
    </c:floor>
    <c:sideWall>
      <c:thickness val="0"/>
    </c:sideWall>
    <c:backWall>
      <c:thickness val="0"/>
    </c:backWall>
    <c:plotArea>
      <c:layout>
        <c:manualLayout>
          <c:layoutTarget val="inner"/>
          <c:xMode val="edge"/>
          <c:yMode val="edge"/>
          <c:x val="0.11662948633146979"/>
          <c:y val="0.24405450614010035"/>
          <c:w val="0.72428578552033329"/>
          <c:h val="0.43573388818625652"/>
        </c:manualLayout>
      </c:layout>
      <c:pie3DChart>
        <c:varyColors val="1"/>
        <c:ser>
          <c:idx val="0"/>
          <c:order val="0"/>
          <c:tx>
            <c:strRef>
              <c:f>Sheet1!$A$2</c:f>
              <c:strCache>
                <c:ptCount val="1"/>
              </c:strCache>
            </c:strRef>
          </c:tx>
          <c:spPr>
            <a:solidFill>
              <a:srgbClr val="9999FF"/>
            </a:solidFill>
            <a:ln w="12698">
              <a:solidFill>
                <a:srgbClr val="000000"/>
              </a:solidFill>
              <a:prstDash val="solid"/>
            </a:ln>
          </c:spPr>
          <c:explosion val="45"/>
          <c:dPt>
            <c:idx val="0"/>
            <c:bubble3D val="0"/>
            <c:explosion val="29"/>
            <c:spPr>
              <a:solidFill>
                <a:srgbClr val="FFFF00"/>
              </a:solidFill>
              <a:ln w="12698">
                <a:solidFill>
                  <a:srgbClr val="000000"/>
                </a:solidFill>
                <a:prstDash val="solid"/>
              </a:ln>
            </c:spPr>
          </c:dPt>
          <c:dPt>
            <c:idx val="1"/>
            <c:bubble3D val="0"/>
            <c:explosion val="0"/>
            <c:spPr>
              <a:solidFill>
                <a:srgbClr val="00B050"/>
              </a:solidFill>
              <a:ln w="12698">
                <a:solidFill>
                  <a:srgbClr val="000000"/>
                </a:solidFill>
                <a:prstDash val="solid"/>
              </a:ln>
            </c:spPr>
          </c:dPt>
          <c:dPt>
            <c:idx val="2"/>
            <c:bubble3D val="0"/>
            <c:spPr>
              <a:solidFill>
                <a:srgbClr val="FF0000"/>
              </a:solidFill>
              <a:ln w="12698">
                <a:solidFill>
                  <a:srgbClr val="000000"/>
                </a:solidFill>
                <a:prstDash val="solid"/>
              </a:ln>
            </c:spPr>
          </c:dPt>
          <c:dLbls>
            <c:dLbl>
              <c:idx val="0"/>
              <c:layout>
                <c:manualLayout>
                  <c:x val="-0.22188129146086352"/>
                  <c:y val="7.6374911574340357E-2"/>
                </c:manualLayout>
              </c:layout>
              <c:tx>
                <c:rich>
                  <a:bodyPr/>
                  <a:lstStyle/>
                  <a:p>
                    <a:pPr>
                      <a:defRPr sz="1000" b="1" i="0" u="none" strike="noStrike" baseline="0">
                        <a:solidFill>
                          <a:srgbClr val="000000"/>
                        </a:solidFill>
                        <a:latin typeface="Times New Roman"/>
                        <a:ea typeface="Times New Roman"/>
                        <a:cs typeface="Times New Roman"/>
                      </a:defRPr>
                    </a:pPr>
                    <a:r>
                      <a:rPr lang="ru-RU" sz="1000" b="1"/>
                      <a:t>Платежи от государственных унитарных предприятий 
</a:t>
                    </a:r>
                    <a:r>
                      <a:rPr lang="ru-RU" sz="1200" b="1"/>
                      <a:t>4 213 тыс. рублей; 4,5%</a:t>
                    </a:r>
                  </a:p>
                </c:rich>
              </c:tx>
              <c:spPr>
                <a:noFill/>
                <a:ln w="25397">
                  <a:noFill/>
                </a:ln>
              </c:spPr>
              <c:dLblPos val="bestFit"/>
              <c:showLegendKey val="1"/>
              <c:showVal val="0"/>
              <c:showCatName val="0"/>
              <c:showSerName val="0"/>
              <c:showPercent val="0"/>
              <c:showBubbleSize val="0"/>
            </c:dLbl>
            <c:dLbl>
              <c:idx val="1"/>
              <c:layout>
                <c:manualLayout>
                  <c:x val="-0.21307183824244191"/>
                  <c:y val="2.8169803711563763E-2"/>
                </c:manualLayout>
              </c:layout>
              <c:tx>
                <c:rich>
                  <a:bodyPr/>
                  <a:lstStyle/>
                  <a:p>
                    <a:pPr>
                      <a:defRPr sz="1000" b="1" i="0" u="none" strike="noStrike" baseline="0">
                        <a:solidFill>
                          <a:srgbClr val="000000"/>
                        </a:solidFill>
                        <a:latin typeface="Times New Roman"/>
                        <a:ea typeface="Times New Roman"/>
                        <a:cs typeface="Times New Roman"/>
                      </a:defRPr>
                    </a:pPr>
                    <a:r>
                      <a:rPr lang="ru-RU" sz="1000" b="1"/>
                      <a:t>Доходы, получаемые в виде арендной платы либо иной платы за передачу в возмездное пользование государственного имущества; 
</a:t>
                    </a:r>
                    <a:r>
                      <a:rPr lang="ru-RU" sz="1200" b="1"/>
                      <a:t>85 806 тыс. рублей; </a:t>
                    </a:r>
                  </a:p>
                  <a:p>
                    <a:pPr>
                      <a:defRPr sz="1000" b="1" i="0" u="none" strike="noStrike" baseline="0">
                        <a:solidFill>
                          <a:srgbClr val="000000"/>
                        </a:solidFill>
                        <a:latin typeface="Times New Roman"/>
                        <a:ea typeface="Times New Roman"/>
                        <a:cs typeface="Times New Roman"/>
                      </a:defRPr>
                    </a:pPr>
                    <a:r>
                      <a:rPr lang="ru-RU" sz="1200" b="1"/>
                      <a:t>92,5 %</a:t>
                    </a:r>
                  </a:p>
                </c:rich>
              </c:tx>
              <c:spPr>
                <a:noFill/>
                <a:ln w="25397">
                  <a:noFill/>
                </a:ln>
              </c:spPr>
              <c:dLblPos val="bestFit"/>
              <c:showLegendKey val="1"/>
              <c:showVal val="0"/>
              <c:showCatName val="0"/>
              <c:showSerName val="0"/>
              <c:showPercent val="0"/>
              <c:showBubbleSize val="0"/>
            </c:dLbl>
            <c:dLbl>
              <c:idx val="2"/>
              <c:layout>
                <c:manualLayout>
                  <c:x val="0.13723072351805082"/>
                  <c:y val="-3.7726001173963394E-2"/>
                </c:manualLayout>
              </c:layout>
              <c:tx>
                <c:rich>
                  <a:bodyPr/>
                  <a:lstStyle/>
                  <a:p>
                    <a:pPr>
                      <a:defRPr sz="1000" b="1" i="0" u="none" strike="noStrike" baseline="0">
                        <a:solidFill>
                          <a:srgbClr val="000000"/>
                        </a:solidFill>
                        <a:latin typeface="Times New Roman"/>
                        <a:ea typeface="Times New Roman"/>
                        <a:cs typeface="Times New Roman"/>
                      </a:defRPr>
                    </a:pPr>
                    <a:r>
                      <a:rPr lang="ru-RU" sz="1000" b="1"/>
                      <a:t>Доходы в виде прибыли, приходящейся на доли в уставных (складочных) капиталах хозяйственных товариществ и обществ
</a:t>
                    </a:r>
                    <a:r>
                      <a:rPr lang="ru-RU" sz="1200" b="1"/>
                      <a:t>1 766 тыс. рублей; 1,9%</a:t>
                    </a:r>
                  </a:p>
                </c:rich>
              </c:tx>
              <c:spPr>
                <a:noFill/>
                <a:ln w="25397">
                  <a:noFill/>
                </a:ln>
              </c:spPr>
              <c:dLblPos val="bestFit"/>
              <c:showLegendKey val="1"/>
              <c:showVal val="0"/>
              <c:showCatName val="0"/>
              <c:showSerName val="0"/>
              <c:showPercent val="0"/>
              <c:showBubbleSize val="0"/>
            </c:dLbl>
            <c:dLbl>
              <c:idx val="3"/>
              <c:layout>
                <c:manualLayout>
                  <c:x val="0.13258200025186989"/>
                  <c:y val="0.16446717494098506"/>
                </c:manualLayout>
              </c:layout>
              <c:tx>
                <c:rich>
                  <a:bodyPr/>
                  <a:lstStyle/>
                  <a:p>
                    <a:pPr>
                      <a:defRPr sz="1000" b="1" i="0" u="none" strike="noStrike" baseline="0">
                        <a:solidFill>
                          <a:srgbClr val="000000"/>
                        </a:solidFill>
                        <a:latin typeface="Times New Roman"/>
                        <a:ea typeface="Times New Roman"/>
                        <a:cs typeface="Times New Roman"/>
                      </a:defRPr>
                    </a:pPr>
                    <a:r>
                      <a:rPr lang="ru-RU" sz="1000" b="1"/>
                      <a:t>Прочие доходыот использования</a:t>
                    </a:r>
                    <a:r>
                      <a:rPr lang="ru-RU" sz="1000" b="1" baseline="0"/>
                      <a:t> имущества и прав, находящихся в государственной и муниципальной собственности</a:t>
                    </a:r>
                    <a:r>
                      <a:rPr lang="ru-RU" sz="1000" b="1"/>
                      <a:t>; 
2 147 тыс. рублей; 3%</a:t>
                    </a:r>
                    <a:endParaRPr lang="ru-RU"/>
                  </a:p>
                </c:rich>
              </c:tx>
              <c:spPr>
                <a:noFill/>
                <a:ln w="25397">
                  <a:noFill/>
                </a:ln>
              </c:spPr>
              <c:dLblPos val="bestFit"/>
              <c:showLegendKey val="1"/>
              <c:showVal val="0"/>
              <c:showCatName val="0"/>
              <c:showSerName val="0"/>
              <c:showPercent val="0"/>
              <c:showBubbleSize val="0"/>
            </c:dLbl>
            <c:numFmt formatCode="0%" sourceLinked="0"/>
            <c:spPr>
              <a:noFill/>
              <a:ln w="25397">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howLeaderLines val="1"/>
          </c:dLbls>
          <c:cat>
            <c:strRef>
              <c:f>Sheet1!$B$1:$D$1</c:f>
              <c:strCache>
                <c:ptCount val="3"/>
                <c:pt idx="0">
                  <c:v>Проценты, полученные от предоставления бюджетных кредитов внутри страны</c:v>
                </c:pt>
                <c:pt idx="1">
                  <c:v>Доходы, получаемые в виде арендной платы либо иной платы за передачу в возмездное пользование государственного и муниципального имущества</c:v>
                </c:pt>
                <c:pt idx="2">
                  <c:v>Платежи от государственных и муниципальных унитарных предприятий</c:v>
                </c:pt>
              </c:strCache>
            </c:strRef>
          </c:cat>
          <c:val>
            <c:numRef>
              <c:f>Sheet1!$B$2:$D$2</c:f>
              <c:numCache>
                <c:formatCode>#,##0</c:formatCode>
                <c:ptCount val="3"/>
                <c:pt idx="0">
                  <c:v>4612</c:v>
                </c:pt>
                <c:pt idx="1">
                  <c:v>66587</c:v>
                </c:pt>
                <c:pt idx="2">
                  <c:v>420</c:v>
                </c:pt>
              </c:numCache>
            </c:numRef>
          </c:val>
        </c:ser>
        <c:dLbls>
          <c:showLegendKey val="0"/>
          <c:showVal val="0"/>
          <c:showCatName val="0"/>
          <c:showSerName val="0"/>
          <c:showPercent val="0"/>
          <c:showBubbleSize val="0"/>
          <c:showLeaderLines val="1"/>
        </c:dLbls>
      </c:pie3DChart>
      <c:spPr>
        <a:gradFill rotWithShape="0">
          <a:gsLst>
            <a:gs pos="0">
              <a:srgbClr xmlns:mc="http://schemas.openxmlformats.org/markup-compatibility/2006" xmlns:a14="http://schemas.microsoft.com/office/drawing/2010/main" val="000000" mc:Ignorable="a14" a14:legacySpreadsheetColorIndex="78">
                <a:gamma/>
                <a:shade val="46275"/>
                <a:invGamma/>
              </a:srgbClr>
            </a:gs>
            <a:gs pos="100000">
              <a:srgbClr xmlns:mc="http://schemas.openxmlformats.org/markup-compatibility/2006" xmlns:a14="http://schemas.microsoft.com/office/drawing/2010/main" val="FFFFFF" mc:Ignorable="a14" a14:legacySpreadsheetColorIndex="78"/>
            </a:gs>
          </a:gsLst>
          <a:path path="rect">
            <a:fillToRect l="50000" t="50000" r="50000" b="50000"/>
          </a:path>
        </a:gradFill>
        <a:ln w="25397">
          <a:noFill/>
        </a:ln>
      </c:spPr>
    </c:plotArea>
    <c:plotVisOnly val="1"/>
    <c:dispBlanksAs val="zero"/>
    <c:showDLblsOverMax val="0"/>
  </c:chart>
  <c:spPr>
    <a:noFill/>
    <a:ln>
      <a:noFill/>
    </a:ln>
  </c:spPr>
  <c:txPr>
    <a:bodyPr/>
    <a:lstStyle/>
    <a:p>
      <a:pPr>
        <a:defRPr sz="162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60"/>
      <c:depthPercent val="270"/>
      <c:rAngAx val="0"/>
      <c:perspective val="0"/>
    </c:view3D>
    <c:floor>
      <c:thickness val="0"/>
    </c:floor>
    <c:sideWall>
      <c:thickness val="0"/>
    </c:sideWall>
    <c:backWall>
      <c:thickness val="0"/>
    </c:backWall>
    <c:plotArea>
      <c:layout>
        <c:manualLayout>
          <c:layoutTarget val="inner"/>
          <c:xMode val="edge"/>
          <c:yMode val="edge"/>
          <c:x val="8.1676687335048865E-3"/>
          <c:y val="0.20195295826276299"/>
          <c:w val="0.99183237688509274"/>
          <c:h val="0.48408955573097867"/>
        </c:manualLayout>
      </c:layout>
      <c:pie3DChart>
        <c:varyColors val="1"/>
        <c:ser>
          <c:idx val="0"/>
          <c:order val="0"/>
          <c:tx>
            <c:strRef>
              <c:f>Лист1!$C$1</c:f>
              <c:strCache>
                <c:ptCount val="1"/>
                <c:pt idx="0">
                  <c:v>Продажи</c:v>
                </c:pt>
              </c:strCache>
            </c:strRef>
          </c:tx>
          <c:spPr>
            <a:ln w="19050">
              <a:solidFill>
                <a:sysClr val="windowText" lastClr="000000"/>
              </a:solidFill>
            </a:ln>
          </c:spPr>
          <c:explosion val="25"/>
          <c:dPt>
            <c:idx val="2"/>
            <c:bubble3D val="0"/>
            <c:spPr>
              <a:solidFill>
                <a:srgbClr val="FFFF00"/>
              </a:solidFill>
              <a:ln w="19050">
                <a:solidFill>
                  <a:sysClr val="windowText" lastClr="000000"/>
                </a:solidFill>
              </a:ln>
            </c:spPr>
          </c:dPt>
          <c:dPt>
            <c:idx val="3"/>
            <c:bubble3D val="0"/>
            <c:spPr>
              <a:solidFill>
                <a:srgbClr val="FF33CC"/>
              </a:solidFill>
              <a:ln w="19050">
                <a:solidFill>
                  <a:sysClr val="windowText" lastClr="000000"/>
                </a:solidFill>
              </a:ln>
            </c:spPr>
          </c:dPt>
          <c:dPt>
            <c:idx val="4"/>
            <c:bubble3D val="0"/>
            <c:spPr>
              <a:solidFill>
                <a:srgbClr val="00B050"/>
              </a:solidFill>
              <a:ln w="19050">
                <a:solidFill>
                  <a:sysClr val="windowText" lastClr="000000"/>
                </a:solidFill>
              </a:ln>
            </c:spPr>
          </c:dPt>
          <c:dPt>
            <c:idx val="5"/>
            <c:bubble3D val="0"/>
            <c:spPr>
              <a:solidFill>
                <a:schemeClr val="accent6">
                  <a:lumMod val="40000"/>
                  <a:lumOff val="60000"/>
                </a:schemeClr>
              </a:solidFill>
              <a:ln w="19050">
                <a:solidFill>
                  <a:sysClr val="windowText" lastClr="000000"/>
                </a:solidFill>
              </a:ln>
            </c:spPr>
          </c:dPt>
          <c:dPt>
            <c:idx val="7"/>
            <c:bubble3D val="0"/>
            <c:spPr>
              <a:solidFill>
                <a:srgbClr val="FF0000"/>
              </a:solidFill>
              <a:ln w="19050">
                <a:solidFill>
                  <a:sysClr val="windowText" lastClr="000000"/>
                </a:solidFill>
              </a:ln>
            </c:spPr>
          </c:dPt>
          <c:dPt>
            <c:idx val="8"/>
            <c:bubble3D val="0"/>
            <c:explosion val="32"/>
          </c:dPt>
          <c:dPt>
            <c:idx val="9"/>
            <c:bubble3D val="0"/>
            <c:explosion val="23"/>
          </c:dPt>
          <c:dLbls>
            <c:dLbl>
              <c:idx val="0"/>
              <c:layout>
                <c:manualLayout>
                  <c:x val="3.6524753422422021E-2"/>
                  <c:y val="-7.6782331818395458E-2"/>
                </c:manualLayout>
              </c:layout>
              <c:showLegendKey val="1"/>
              <c:showVal val="0"/>
              <c:showCatName val="1"/>
              <c:showSerName val="0"/>
              <c:showPercent val="1"/>
              <c:showBubbleSize val="0"/>
              <c:separator>
</c:separator>
            </c:dLbl>
            <c:dLbl>
              <c:idx val="1"/>
              <c:layout>
                <c:manualLayout>
                  <c:x val="0"/>
                  <c:y val="-6.8440513273288039E-2"/>
                </c:manualLayout>
              </c:layout>
              <c:showLegendKey val="1"/>
              <c:showVal val="0"/>
              <c:showCatName val="1"/>
              <c:showSerName val="0"/>
              <c:showPercent val="1"/>
              <c:showBubbleSize val="0"/>
              <c:separator>
</c:separator>
            </c:dLbl>
            <c:dLbl>
              <c:idx val="2"/>
              <c:layout>
                <c:manualLayout>
                  <c:x val="6.0623080388869328E-2"/>
                  <c:y val="-3.5100241067162292E-3"/>
                </c:manualLayout>
              </c:layout>
              <c:showLegendKey val="1"/>
              <c:showVal val="0"/>
              <c:showCatName val="1"/>
              <c:showSerName val="0"/>
              <c:showPercent val="1"/>
              <c:showBubbleSize val="0"/>
              <c:separator>
</c:separator>
            </c:dLbl>
            <c:dLbl>
              <c:idx val="3"/>
              <c:layout>
                <c:manualLayout>
                  <c:x val="5.6029521486195208E-2"/>
                  <c:y val="0.16823524429846734"/>
                </c:manualLayout>
              </c:layout>
              <c:showLegendKey val="1"/>
              <c:showVal val="0"/>
              <c:showCatName val="1"/>
              <c:showSerName val="0"/>
              <c:showPercent val="1"/>
              <c:showBubbleSize val="0"/>
              <c:separator>
</c:separator>
            </c:dLbl>
            <c:dLbl>
              <c:idx val="4"/>
              <c:layout>
                <c:manualLayout>
                  <c:x val="-8.2953811580360012E-2"/>
                  <c:y val="0.2298317320070847"/>
                </c:manualLayout>
              </c:layout>
              <c:showLegendKey val="1"/>
              <c:showVal val="0"/>
              <c:showCatName val="1"/>
              <c:showSerName val="0"/>
              <c:showPercent val="1"/>
              <c:showBubbleSize val="0"/>
              <c:separator>
</c:separator>
            </c:dLbl>
            <c:dLbl>
              <c:idx val="5"/>
              <c:layout>
                <c:manualLayout>
                  <c:x val="-1.7908417602612369E-2"/>
                  <c:y val="0.1615996024052124"/>
                </c:manualLayout>
              </c:layout>
              <c:showLegendKey val="1"/>
              <c:showVal val="0"/>
              <c:showCatName val="1"/>
              <c:showSerName val="0"/>
              <c:showPercent val="1"/>
              <c:showBubbleSize val="0"/>
              <c:separator>
</c:separator>
            </c:dLbl>
            <c:dLbl>
              <c:idx val="6"/>
              <c:layout>
                <c:manualLayout>
                  <c:x val="7.6413846770997385E-2"/>
                  <c:y val="0.2040874868717211"/>
                </c:manualLayout>
              </c:layout>
              <c:showLegendKey val="1"/>
              <c:showVal val="0"/>
              <c:showCatName val="1"/>
              <c:showSerName val="0"/>
              <c:showPercent val="1"/>
              <c:showBubbleSize val="0"/>
              <c:separator>
</c:separator>
            </c:dLbl>
            <c:dLbl>
              <c:idx val="7"/>
              <c:layout>
                <c:manualLayout>
                  <c:x val="-0.13281256406113209"/>
                  <c:y val="0.13109520460302804"/>
                </c:manualLayout>
              </c:layout>
              <c:showLegendKey val="1"/>
              <c:showVal val="0"/>
              <c:showCatName val="1"/>
              <c:showSerName val="0"/>
              <c:showPercent val="1"/>
              <c:showBubbleSize val="0"/>
              <c:separator>
</c:separator>
            </c:dLbl>
            <c:dLbl>
              <c:idx val="8"/>
              <c:layout>
                <c:manualLayout>
                  <c:x val="-9.5785370386895066E-2"/>
                  <c:y val="-2.6547629912263157E-2"/>
                </c:manualLayout>
              </c:layout>
              <c:showLegendKey val="1"/>
              <c:showVal val="0"/>
              <c:showCatName val="1"/>
              <c:showSerName val="0"/>
              <c:showPercent val="1"/>
              <c:showBubbleSize val="0"/>
              <c:separator>
</c:separator>
            </c:dLbl>
            <c:dLbl>
              <c:idx val="9"/>
              <c:layout>
                <c:manualLayout>
                  <c:x val="0"/>
                  <c:y val="-6.3773242823470994E-2"/>
                </c:manualLayout>
              </c:layout>
              <c:showLegendKey val="1"/>
              <c:showVal val="0"/>
              <c:showCatName val="1"/>
              <c:showSerName val="0"/>
              <c:showPercent val="1"/>
              <c:showBubbleSize val="0"/>
              <c:separator>
</c:separator>
            </c:dLbl>
            <c:dLbl>
              <c:idx val="10"/>
              <c:layout>
                <c:manualLayout>
                  <c:x val="-3.2551880478952383E-2"/>
                  <c:y val="-8.9417465350767805E-2"/>
                </c:manualLayout>
              </c:layout>
              <c:showLegendKey val="1"/>
              <c:showVal val="0"/>
              <c:showCatName val="1"/>
              <c:showSerName val="0"/>
              <c:showPercent val="1"/>
              <c:showBubbleSize val="0"/>
              <c:separator>
</c:separator>
            </c:dLbl>
            <c:dLbl>
              <c:idx val="11"/>
              <c:layout>
                <c:manualLayout>
                  <c:x val="7.1556656368651259E-2"/>
                  <c:y val="-8.9637348617744778E-2"/>
                </c:manualLayout>
              </c:layout>
              <c:showLegendKey val="1"/>
              <c:showVal val="0"/>
              <c:showCatName val="1"/>
              <c:showSerName val="0"/>
              <c:showPercent val="1"/>
              <c:showBubbleSize val="0"/>
              <c:separator>
</c:separator>
            </c:dLbl>
            <c:dLbl>
              <c:idx val="12"/>
              <c:layout>
                <c:manualLayout>
                  <c:x val="-4.7379231451312738E-2"/>
                  <c:y val="-0.13709137408581548"/>
                </c:manualLayout>
              </c:layout>
              <c:showLegendKey val="1"/>
              <c:showVal val="0"/>
              <c:showCatName val="1"/>
              <c:showSerName val="0"/>
              <c:showPercent val="1"/>
              <c:showBubbleSize val="0"/>
              <c:separator>
</c:separator>
            </c:dLbl>
            <c:numFmt formatCode="0.0%" sourceLinked="0"/>
            <c:txPr>
              <a:bodyPr/>
              <a:lstStyle/>
              <a:p>
                <a:pPr>
                  <a:defRPr sz="1000" b="1">
                    <a:latin typeface="Times New Roman" pitchFamily="18" charset="0"/>
                    <a:cs typeface="Times New Roman" pitchFamily="18" charset="0"/>
                  </a:defRPr>
                </a:pPr>
                <a:endParaRPr lang="ru-RU"/>
              </a:p>
            </c:txPr>
            <c:showLegendKey val="1"/>
            <c:showVal val="0"/>
            <c:showCatName val="1"/>
            <c:showSerName val="0"/>
            <c:showPercent val="1"/>
            <c:showBubbleSize val="0"/>
            <c:separator>
</c:separator>
            <c:showLeaderLines val="1"/>
          </c:dLbls>
          <c:cat>
            <c:strRef>
              <c:f>Лист1!$B$2:$B$14</c:f>
              <c:strCache>
                <c:ptCount val="13"/>
                <c:pt idx="0">
                  <c:v>Развитие с/х и регулирование рынков с/х продукции</c:v>
                </c:pt>
                <c:pt idx="1">
                  <c:v>Развитие системы соц. защиты населения</c:v>
                </c:pt>
                <c:pt idx="2">
                  <c:v>Развитие и сохранение культуры и искусства</c:v>
                </c:pt>
                <c:pt idx="3">
                  <c:v>Модернизация ЖКК, энергоснабжение и повышение энергетической эффективности</c:v>
                </c:pt>
                <c:pt idx="4">
                  <c:v>Охрана окружающей среды</c:v>
                </c:pt>
                <c:pt idx="5">
                  <c:v>Развитие здравоохранения</c:v>
                </c:pt>
                <c:pt idx="6">
                  <c:v>Обеспечение доступным и качественным жильем населения</c:v>
                </c:pt>
                <c:pt idx="7">
                  <c:v>Экономическое развитие и инновационная экономика</c:v>
                </c:pt>
                <c:pt idx="8">
                  <c:v>Развитие физ. культуры и спорта</c:v>
                </c:pt>
                <c:pt idx="9">
                  <c:v>Повышение эфф-ти деят-ти органов гос. власти и управления </c:v>
                </c:pt>
                <c:pt idx="10">
                  <c:v>Снижение рисков и смягчение последствий ЧС природного и техногенного характера</c:v>
                </c:pt>
                <c:pt idx="11">
                  <c:v>Развитие образования </c:v>
                </c:pt>
                <c:pt idx="12">
                  <c:v>Развитие транспортной системы </c:v>
                </c:pt>
              </c:strCache>
            </c:strRef>
          </c:cat>
          <c:val>
            <c:numRef>
              <c:f>Лист1!$C$2:$C$14</c:f>
              <c:numCache>
                <c:formatCode>General</c:formatCode>
                <c:ptCount val="13"/>
                <c:pt idx="0">
                  <c:v>342.6</c:v>
                </c:pt>
                <c:pt idx="1">
                  <c:v>5394.3</c:v>
                </c:pt>
                <c:pt idx="2">
                  <c:v>204.7</c:v>
                </c:pt>
                <c:pt idx="3">
                  <c:v>1774.8</c:v>
                </c:pt>
                <c:pt idx="4">
                  <c:v>100.9</c:v>
                </c:pt>
                <c:pt idx="5">
                  <c:v>6878.3</c:v>
                </c:pt>
                <c:pt idx="6">
                  <c:v>322.60000000000002</c:v>
                </c:pt>
                <c:pt idx="7">
                  <c:v>215.3</c:v>
                </c:pt>
                <c:pt idx="8">
                  <c:v>92.9</c:v>
                </c:pt>
                <c:pt idx="9">
                  <c:v>6697.4</c:v>
                </c:pt>
                <c:pt idx="10">
                  <c:v>564.9</c:v>
                </c:pt>
                <c:pt idx="11">
                  <c:v>8199.9</c:v>
                </c:pt>
                <c:pt idx="12">
                  <c:v>3581.8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w="19050">
          <a:solidFill>
            <a:schemeClr val="tx1"/>
          </a:solidFill>
        </a:ln>
      </c:spPr>
    </c:floor>
    <c:sideWall>
      <c:thickness val="0"/>
    </c:sideWall>
    <c:backWall>
      <c:thickness val="0"/>
    </c:backWall>
    <c:plotArea>
      <c:layout>
        <c:manualLayout>
          <c:layoutTarget val="inner"/>
          <c:xMode val="edge"/>
          <c:yMode val="edge"/>
          <c:x val="0.12892534041873424"/>
          <c:y val="3.4587297222581324E-2"/>
          <c:w val="0.8559377843563083"/>
          <c:h val="0.83000118478209939"/>
        </c:manualLayout>
      </c:layout>
      <c:bar3DChart>
        <c:barDir val="col"/>
        <c:grouping val="clustered"/>
        <c:varyColors val="0"/>
        <c:ser>
          <c:idx val="0"/>
          <c:order val="0"/>
          <c:invertIfNegative val="0"/>
          <c:dPt>
            <c:idx val="0"/>
            <c:invertIfNegative val="0"/>
            <c:bubble3D val="0"/>
            <c:spPr>
              <a:solidFill>
                <a:srgbClr val="4BACC6">
                  <a:lumMod val="75000"/>
                </a:srgbClr>
              </a:solidFill>
              <a:ln w="15875">
                <a:solidFill>
                  <a:sysClr val="windowText" lastClr="000000"/>
                </a:solidFill>
              </a:ln>
            </c:spPr>
          </c:dPt>
          <c:dPt>
            <c:idx val="1"/>
            <c:invertIfNegative val="0"/>
            <c:bubble3D val="0"/>
            <c:spPr>
              <a:solidFill>
                <a:srgbClr val="8064A2">
                  <a:lumMod val="75000"/>
                </a:srgbClr>
              </a:solidFill>
              <a:ln w="15875">
                <a:solidFill>
                  <a:sysClr val="windowText" lastClr="000000"/>
                </a:solidFill>
              </a:ln>
            </c:spPr>
          </c:dPt>
          <c:dPt>
            <c:idx val="2"/>
            <c:invertIfNegative val="0"/>
            <c:bubble3D val="0"/>
            <c:spPr>
              <a:solidFill>
                <a:srgbClr val="00B050"/>
              </a:solidFill>
              <a:ln w="15875">
                <a:solidFill>
                  <a:sysClr val="windowText" lastClr="000000"/>
                </a:solidFill>
              </a:ln>
            </c:spPr>
          </c:dPt>
          <c:dPt>
            <c:idx val="3"/>
            <c:invertIfNegative val="0"/>
            <c:bubble3D val="0"/>
            <c:spPr>
              <a:ln w="15875">
                <a:solidFill>
                  <a:sysClr val="windowText" lastClr="000000"/>
                </a:solidFill>
              </a:ln>
            </c:spPr>
          </c:dPt>
          <c:dPt>
            <c:idx val="4"/>
            <c:invertIfNegative val="0"/>
            <c:bubble3D val="0"/>
            <c:spPr>
              <a:solidFill>
                <a:srgbClr val="C0504D">
                  <a:lumMod val="60000"/>
                  <a:lumOff val="40000"/>
                </a:srgbClr>
              </a:solidFill>
              <a:ln w="15875">
                <a:solidFill>
                  <a:sysClr val="windowText" lastClr="000000"/>
                </a:solidFill>
              </a:ln>
            </c:spPr>
          </c:dPt>
          <c:dLbls>
            <c:dLbl>
              <c:idx val="0"/>
              <c:layout>
                <c:manualLayout>
                  <c:x val="2.1231447192696418E-2"/>
                  <c:y val="-1.4674406575090523E-2"/>
                </c:manualLayout>
              </c:layout>
              <c:showLegendKey val="0"/>
              <c:showVal val="1"/>
              <c:showCatName val="0"/>
              <c:showSerName val="0"/>
              <c:showPercent val="0"/>
              <c:showBubbleSize val="0"/>
            </c:dLbl>
            <c:dLbl>
              <c:idx val="1"/>
              <c:layout>
                <c:manualLayout>
                  <c:x val="5.1504573164309515E-2"/>
                  <c:y val="-2.1033648166241994E-2"/>
                </c:manualLayout>
              </c:layout>
              <c:showLegendKey val="0"/>
              <c:showVal val="1"/>
              <c:showCatName val="0"/>
              <c:showSerName val="0"/>
              <c:showPercent val="0"/>
              <c:showBubbleSize val="0"/>
            </c:dLbl>
            <c:dLbl>
              <c:idx val="2"/>
              <c:layout>
                <c:manualLayout>
                  <c:x val="5.6879126064298222E-2"/>
                  <c:y val="-2.0647163630093685E-2"/>
                </c:manualLayout>
              </c:layout>
              <c:showLegendKey val="0"/>
              <c:showVal val="1"/>
              <c:showCatName val="0"/>
              <c:showSerName val="0"/>
              <c:showPercent val="0"/>
              <c:showBubbleSize val="0"/>
            </c:dLbl>
            <c:dLbl>
              <c:idx val="3"/>
              <c:layout>
                <c:manualLayout>
                  <c:x val="7.2325846909585739E-2"/>
                  <c:y val="-1.7531786628861172E-2"/>
                </c:manualLayout>
              </c:layout>
              <c:showLegendKey val="0"/>
              <c:showVal val="1"/>
              <c:showCatName val="0"/>
              <c:showSerName val="0"/>
              <c:showPercent val="0"/>
              <c:showBubbleSize val="0"/>
            </c:dLbl>
            <c:dLbl>
              <c:idx val="4"/>
              <c:layout>
                <c:manualLayout>
                  <c:x val="7.9546404927427275E-2"/>
                  <c:y val="-9.345796685014035E-3"/>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Лист2!$A$2:$A$6</c:f>
              <c:strCache>
                <c:ptCount val="5"/>
                <c:pt idx="0">
                  <c:v>2016 (факт)</c:v>
                </c:pt>
                <c:pt idx="1">
                  <c:v>2017 (уточн.план) </c:v>
                </c:pt>
                <c:pt idx="2">
                  <c:v>2018 (проект)</c:v>
                </c:pt>
                <c:pt idx="3">
                  <c:v>2019 (проект) </c:v>
                </c:pt>
                <c:pt idx="4">
                  <c:v>2020 (проект)</c:v>
                </c:pt>
              </c:strCache>
            </c:strRef>
          </c:cat>
          <c:val>
            <c:numRef>
              <c:f>Лист2!$B$2:$B$6</c:f>
              <c:numCache>
                <c:formatCode>#,##0.0</c:formatCode>
                <c:ptCount val="5"/>
                <c:pt idx="0">
                  <c:v>4040145.6</c:v>
                </c:pt>
                <c:pt idx="1">
                  <c:v>3365849.1</c:v>
                </c:pt>
                <c:pt idx="2">
                  <c:v>3353761.1</c:v>
                </c:pt>
                <c:pt idx="3">
                  <c:v>3103482.4</c:v>
                </c:pt>
                <c:pt idx="4">
                  <c:v>3111223.6</c:v>
                </c:pt>
              </c:numCache>
            </c:numRef>
          </c:val>
        </c:ser>
        <c:dLbls>
          <c:showLegendKey val="0"/>
          <c:showVal val="0"/>
          <c:showCatName val="0"/>
          <c:showSerName val="0"/>
          <c:showPercent val="0"/>
          <c:showBubbleSize val="0"/>
        </c:dLbls>
        <c:gapWidth val="150"/>
        <c:shape val="cylinder"/>
        <c:axId val="109979136"/>
        <c:axId val="109980672"/>
        <c:axId val="0"/>
      </c:bar3DChart>
      <c:catAx>
        <c:axId val="109979136"/>
        <c:scaling>
          <c:orientation val="minMax"/>
        </c:scaling>
        <c:delete val="0"/>
        <c:axPos val="b"/>
        <c:majorTickMark val="out"/>
        <c:minorTickMark val="none"/>
        <c:tickLblPos val="nextTo"/>
        <c:txPr>
          <a:bodyPr/>
          <a:lstStyle/>
          <a:p>
            <a:pPr>
              <a:defRPr sz="1050" b="1">
                <a:latin typeface="Times New Roman" pitchFamily="18" charset="0"/>
                <a:cs typeface="Times New Roman" pitchFamily="18" charset="0"/>
              </a:defRPr>
            </a:pPr>
            <a:endParaRPr lang="ru-RU"/>
          </a:p>
        </c:txPr>
        <c:crossAx val="109980672"/>
        <c:crosses val="autoZero"/>
        <c:auto val="1"/>
        <c:lblAlgn val="ctr"/>
        <c:lblOffset val="200"/>
        <c:tickLblSkip val="1"/>
        <c:noMultiLvlLbl val="0"/>
      </c:catAx>
      <c:valAx>
        <c:axId val="109980672"/>
        <c:scaling>
          <c:orientation val="minMax"/>
        </c:scaling>
        <c:delete val="0"/>
        <c:axPos val="l"/>
        <c:majorGridlines/>
        <c:title>
          <c:tx>
            <c:rich>
              <a:bodyPr rot="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тыс. руб.</a:t>
                </a:r>
              </a:p>
            </c:rich>
          </c:tx>
          <c:layout>
            <c:manualLayout>
              <c:xMode val="edge"/>
              <c:yMode val="edge"/>
              <c:x val="7.2963037263654135E-2"/>
              <c:y val="1.812814730741711E-2"/>
            </c:manualLayout>
          </c:layout>
          <c:overlay val="0"/>
        </c:title>
        <c:numFmt formatCode="#,##0.0" sourceLinked="1"/>
        <c:majorTickMark val="out"/>
        <c:minorTickMark val="none"/>
        <c:tickLblPos val="nextTo"/>
        <c:spPr>
          <a:ln w="19050">
            <a:solidFill>
              <a:sysClr val="windowText" lastClr="000000"/>
            </a:solidFill>
          </a:ln>
        </c:spPr>
        <c:txPr>
          <a:bodyPr/>
          <a:lstStyle/>
          <a:p>
            <a:pPr>
              <a:defRPr b="1">
                <a:latin typeface="Times New Roman" pitchFamily="18" charset="0"/>
                <a:cs typeface="Times New Roman" pitchFamily="18" charset="0"/>
              </a:defRPr>
            </a:pPr>
            <a:endParaRPr lang="ru-RU"/>
          </a:p>
        </c:txPr>
        <c:crossAx val="109979136"/>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40"/>
      <c:rotY val="60"/>
      <c:rAngAx val="1"/>
    </c:view3D>
    <c:floor>
      <c:thickness val="0"/>
    </c:floor>
    <c:sideWall>
      <c:thickness val="0"/>
    </c:sideWall>
    <c:backWall>
      <c:thickness val="0"/>
    </c:backWall>
    <c:plotArea>
      <c:layout>
        <c:manualLayout>
          <c:layoutTarget val="inner"/>
          <c:xMode val="edge"/>
          <c:yMode val="edge"/>
          <c:x val="0.14057805837333395"/>
          <c:y val="0.20548106486689188"/>
          <c:w val="0.75688192129137066"/>
          <c:h val="0.65562529683789661"/>
        </c:manualLayout>
      </c:layout>
      <c:pie3DChart>
        <c:varyColors val="1"/>
        <c:ser>
          <c:idx val="0"/>
          <c:order val="0"/>
          <c:tx>
            <c:strRef>
              <c:f>Лист1!$B$1</c:f>
              <c:strCache>
                <c:ptCount val="1"/>
                <c:pt idx="0">
                  <c:v>2018 год</c:v>
                </c:pt>
              </c:strCache>
            </c:strRef>
          </c:tx>
          <c:spPr>
            <a:ln w="19050">
              <a:solidFill>
                <a:schemeClr val="tx1"/>
              </a:solidFill>
            </a:ln>
          </c:spPr>
          <c:explosion val="25"/>
          <c:dPt>
            <c:idx val="0"/>
            <c:bubble3D val="0"/>
            <c:spPr>
              <a:solidFill>
                <a:srgbClr val="C0504D">
                  <a:lumMod val="60000"/>
                  <a:lumOff val="40000"/>
                </a:srgbClr>
              </a:solidFill>
              <a:ln w="19050">
                <a:solidFill>
                  <a:schemeClr val="tx1"/>
                </a:solidFill>
              </a:ln>
            </c:spPr>
          </c:dPt>
          <c:dPt>
            <c:idx val="1"/>
            <c:bubble3D val="0"/>
            <c:spPr>
              <a:solidFill>
                <a:schemeClr val="tx2">
                  <a:lumMod val="75000"/>
                </a:schemeClr>
              </a:solidFill>
              <a:ln w="19050">
                <a:solidFill>
                  <a:schemeClr val="tx1"/>
                </a:solidFill>
              </a:ln>
            </c:spPr>
          </c:dPt>
          <c:dPt>
            <c:idx val="2"/>
            <c:bubble3D val="0"/>
            <c:spPr>
              <a:solidFill>
                <a:srgbClr val="00B050"/>
              </a:solidFill>
              <a:ln w="19050">
                <a:solidFill>
                  <a:schemeClr val="tx1"/>
                </a:solidFill>
              </a:ln>
            </c:spPr>
          </c:dPt>
          <c:dPt>
            <c:idx val="3"/>
            <c:bubble3D val="0"/>
            <c:spPr>
              <a:solidFill>
                <a:srgbClr val="FF0000"/>
              </a:solidFill>
              <a:ln w="19050">
                <a:solidFill>
                  <a:schemeClr val="tx1"/>
                </a:solidFill>
              </a:ln>
            </c:spPr>
          </c:dPt>
          <c:dPt>
            <c:idx val="4"/>
            <c:bubble3D val="0"/>
            <c:spPr>
              <a:solidFill>
                <a:schemeClr val="tx2">
                  <a:lumMod val="40000"/>
                  <a:lumOff val="60000"/>
                </a:schemeClr>
              </a:solidFill>
              <a:ln w="19050">
                <a:solidFill>
                  <a:schemeClr val="tx1"/>
                </a:solidFill>
              </a:ln>
            </c:spPr>
          </c:dPt>
          <c:dLbls>
            <c:dLbl>
              <c:idx val="0"/>
              <c:layout>
                <c:manualLayout>
                  <c:x val="-8.1648863659484431E-3"/>
                  <c:y val="-0.26347755214808677"/>
                </c:manualLayout>
              </c:layout>
              <c:tx>
                <c:rich>
                  <a:bodyPr/>
                  <a:lstStyle/>
                  <a:p>
                    <a:r>
                      <a:rPr lang="ru-RU"/>
                      <a:t>Доходы от уплаты акцизов на дизельное топливо; 645 258,00; 19,2%</a:t>
                    </a:r>
                  </a:p>
                </c:rich>
              </c:tx>
              <c:showLegendKey val="1"/>
              <c:showVal val="1"/>
              <c:showCatName val="1"/>
              <c:showSerName val="1"/>
              <c:showPercent val="1"/>
              <c:showBubbleSize val="1"/>
            </c:dLbl>
            <c:dLbl>
              <c:idx val="1"/>
              <c:layout>
                <c:manualLayout>
                  <c:x val="8.5290687501271639E-2"/>
                  <c:y val="0"/>
                </c:manualLayout>
              </c:layout>
              <c:tx>
                <c:rich>
                  <a:bodyPr/>
                  <a:lstStyle/>
                  <a:p>
                    <a:r>
                      <a:rPr lang="ru-RU"/>
                      <a:t>Доходы от уплаты акцизов на моторные масла для дизельных и (или) карбюраторных (инжекторных) двигателей; 5 876,00; 0,2%</a:t>
                    </a:r>
                  </a:p>
                </c:rich>
              </c:tx>
              <c:showLegendKey val="1"/>
              <c:showVal val="1"/>
              <c:showCatName val="1"/>
              <c:showSerName val="1"/>
              <c:showPercent val="1"/>
              <c:showBubbleSize val="1"/>
            </c:dLbl>
            <c:dLbl>
              <c:idx val="2"/>
              <c:layout>
                <c:manualLayout>
                  <c:x val="-0.17737736271338175"/>
                  <c:y val="-2.7959662936869732E-3"/>
                </c:manualLayout>
              </c:layout>
              <c:tx>
                <c:rich>
                  <a:bodyPr/>
                  <a:lstStyle/>
                  <a:p>
                    <a:r>
                      <a:rPr lang="ru-RU"/>
                      <a:t>Доходы от уплаты акцизов на автомобильный бензин, производимый на территории РФ; 1338423; 39,9%</a:t>
                    </a:r>
                  </a:p>
                </c:rich>
              </c:tx>
              <c:showLegendKey val="1"/>
              <c:showVal val="1"/>
              <c:showCatName val="1"/>
              <c:showSerName val="1"/>
              <c:showPercent val="1"/>
              <c:showBubbleSize val="1"/>
            </c:dLbl>
            <c:dLbl>
              <c:idx val="3"/>
              <c:layout>
                <c:manualLayout>
                  <c:x val="-0.14072880424830617"/>
                  <c:y val="7.1178063268407241E-2"/>
                </c:manualLayout>
              </c:layout>
              <c:tx>
                <c:rich>
                  <a:bodyPr/>
                  <a:lstStyle/>
                  <a:p>
                    <a:r>
                      <a:rPr lang="ru-RU"/>
                      <a:t>Транспортный налог (с организаций и физических лиц); 888 095,00; 26,5%</a:t>
                    </a:r>
                  </a:p>
                </c:rich>
              </c:tx>
              <c:showLegendKey val="1"/>
              <c:showVal val="1"/>
              <c:showCatName val="1"/>
              <c:showSerName val="1"/>
              <c:showPercent val="1"/>
              <c:showBubbleSize val="1"/>
            </c:dLbl>
            <c:dLbl>
              <c:idx val="4"/>
              <c:layout>
                <c:manualLayout>
                  <c:x val="-8.9018291318236381E-2"/>
                  <c:y val="-0.14253598563337477"/>
                </c:manualLayout>
              </c:layout>
              <c:tx>
                <c:rich>
                  <a:bodyPr/>
                  <a:lstStyle/>
                  <a:p>
                    <a:r>
                      <a:rPr lang="ru-RU"/>
                      <a:t> Прочие ; 476 109,10; 14,2%</a:t>
                    </a:r>
                  </a:p>
                </c:rich>
              </c:tx>
              <c:showLegendKey val="1"/>
              <c:showVal val="1"/>
              <c:showCatName val="1"/>
              <c:showSerName val="1"/>
              <c:showPercent val="1"/>
              <c:showBubbleSize val="1"/>
            </c:dLbl>
            <c:numFmt formatCode="0.0%" sourceLinked="0"/>
            <c:txPr>
              <a:bodyPr/>
              <a:lstStyle/>
              <a:p>
                <a:pPr>
                  <a:defRPr sz="11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Лист1!$A$2:$A$6</c:f>
              <c:strCache>
                <c:ptCount val="5"/>
                <c:pt idx="0">
                  <c:v>Доходы от уплаты акцизов на дизельное топливо</c:v>
                </c:pt>
                <c:pt idx="1">
                  <c:v>Доходы от уплаты акцизов на моторные масла для дизельных и (или) карбюраторных (инжекторных) двигателей</c:v>
                </c:pt>
                <c:pt idx="2">
                  <c:v>Доходы от уплаты акцизов на автомобильный бензин, производимый на территории РФ</c:v>
                </c:pt>
                <c:pt idx="3">
                  <c:v>Транспортный налог (с организаций и физических лиц)</c:v>
                </c:pt>
                <c:pt idx="4">
                  <c:v>Прочие </c:v>
                </c:pt>
              </c:strCache>
            </c:strRef>
          </c:cat>
          <c:val>
            <c:numRef>
              <c:f>Лист1!$B$2:$B$6</c:f>
              <c:numCache>
                <c:formatCode>#,##0.00</c:formatCode>
                <c:ptCount val="5"/>
                <c:pt idx="0">
                  <c:v>645258</c:v>
                </c:pt>
                <c:pt idx="1">
                  <c:v>5876</c:v>
                </c:pt>
                <c:pt idx="2" formatCode="General">
                  <c:v>1338423</c:v>
                </c:pt>
                <c:pt idx="3">
                  <c:v>888095</c:v>
                </c:pt>
                <c:pt idx="4">
                  <c:v>476109.10000000003</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3197389885807507E-2"/>
          <c:y val="4.0095002533905161E-2"/>
          <c:w val="0.91680256992415821"/>
          <c:h val="0.80263495881458624"/>
        </c:manualLayout>
      </c:layout>
      <c:bar3DChart>
        <c:barDir val="col"/>
        <c:grouping val="clustered"/>
        <c:varyColors val="0"/>
        <c:ser>
          <c:idx val="0"/>
          <c:order val="0"/>
          <c:tx>
            <c:strRef>
              <c:f>Sheet1!$A$2</c:f>
              <c:strCache>
                <c:ptCount val="1"/>
                <c:pt idx="0">
                  <c:v>2017(план)</c:v>
                </c:pt>
              </c:strCache>
            </c:strRef>
          </c:tx>
          <c:spPr>
            <a:gradFill flip="none" rotWithShape="1">
              <a:gsLst>
                <a:gs pos="35000">
                  <a:schemeClr val="accent4">
                    <a:lumMod val="75000"/>
                  </a:schemeClr>
                </a:gs>
                <a:gs pos="85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2.4798102160306884E-3"/>
                  <c:y val="0.39148547353770979"/>
                </c:manualLayout>
              </c:layout>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27254.6</c:v>
                </c:pt>
              </c:numCache>
            </c:numRef>
          </c:val>
        </c:ser>
        <c:ser>
          <c:idx val="1"/>
          <c:order val="1"/>
          <c:tx>
            <c:strRef>
              <c:f>Sheet1!$A$3</c:f>
              <c:strCache>
                <c:ptCount val="1"/>
                <c:pt idx="0">
                  <c:v>2018(прогноз)</c:v>
                </c:pt>
              </c:strCache>
            </c:strRef>
          </c:tx>
          <c:spPr>
            <a:gradFill flip="none" rotWithShape="1">
              <a:gsLst>
                <a:gs pos="35000">
                  <a:srgbClr val="FFC000"/>
                </a:gs>
                <a:gs pos="85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5.5272898579985198E-3"/>
                  <c:y val="0.41746594355820799"/>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sz="9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22178.799999999999</c:v>
                </c:pt>
              </c:numCache>
            </c:numRef>
          </c:val>
        </c:ser>
        <c:ser>
          <c:idx val="2"/>
          <c:order val="2"/>
          <c:tx>
            <c:strRef>
              <c:f>Sheet1!$A$4</c:f>
              <c:strCache>
                <c:ptCount val="1"/>
                <c:pt idx="0">
                  <c:v>2019(прогноз)</c:v>
                </c:pt>
              </c:strCache>
            </c:strRef>
          </c:tx>
          <c:spPr>
            <a:gradFill flip="none" rotWithShape="1">
              <a:gsLst>
                <a:gs pos="43000">
                  <a:srgbClr val="00B050"/>
                </a:gs>
                <a:gs pos="74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1.3110477754697842E-3"/>
                  <c:y val="0.38468250546491489"/>
                </c:manualLayout>
              </c:layout>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20246.400000000001</c:v>
                </c:pt>
              </c:numCache>
            </c:numRef>
          </c:val>
        </c:ser>
        <c:ser>
          <c:idx val="3"/>
          <c:order val="3"/>
          <c:tx>
            <c:strRef>
              <c:f>Sheet1!$A$5</c:f>
              <c:strCache>
                <c:ptCount val="1"/>
                <c:pt idx="0">
                  <c:v>2020(прогноз)</c:v>
                </c:pt>
              </c:strCache>
            </c:strRef>
          </c:tx>
          <c:spPr>
            <a:gradFill flip="none" rotWithShape="1">
              <a:gsLst>
                <a:gs pos="43000">
                  <a:srgbClr val="FF0000"/>
                </a:gs>
                <a:gs pos="74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7.594802183469398E-3"/>
                  <c:y val="0.39155233837845199"/>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Sheet1!$B$5:$B$5</c:f>
              <c:numCache>
                <c:formatCode>0.0</c:formatCode>
                <c:ptCount val="1"/>
                <c:pt idx="0">
                  <c:v>16823.7</c:v>
                </c:pt>
              </c:numCache>
            </c:numRef>
          </c:val>
        </c:ser>
        <c:dLbls>
          <c:showLegendKey val="0"/>
          <c:showVal val="0"/>
          <c:showCatName val="0"/>
          <c:showSerName val="0"/>
          <c:showPercent val="0"/>
          <c:showBubbleSize val="0"/>
        </c:dLbls>
        <c:gapWidth val="150"/>
        <c:gapDepth val="10"/>
        <c:shape val="box"/>
        <c:axId val="111485312"/>
        <c:axId val="111486848"/>
        <c:axId val="0"/>
      </c:bar3DChart>
      <c:catAx>
        <c:axId val="111485312"/>
        <c:scaling>
          <c:orientation val="minMax"/>
        </c:scaling>
        <c:delete val="0"/>
        <c:axPos val="b"/>
        <c:numFmt formatCode="General" sourceLinked="1"/>
        <c:majorTickMark val="out"/>
        <c:minorTickMark val="none"/>
        <c:tickLblPos val="low"/>
        <c:spPr>
          <a:ln w="12700">
            <a:solidFill>
              <a:srgbClr val="FFFFFF"/>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11486848"/>
        <c:crosses val="autoZero"/>
        <c:auto val="1"/>
        <c:lblAlgn val="ctr"/>
        <c:lblOffset val="100"/>
        <c:tickLblSkip val="1"/>
        <c:tickMarkSkip val="1"/>
        <c:noMultiLvlLbl val="0"/>
      </c:catAx>
      <c:valAx>
        <c:axId val="1114868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Times New Roman" pitchFamily="18" charset="0"/>
                <a:ea typeface="Arial"/>
                <a:cs typeface="Times New Roman" pitchFamily="18" charset="0"/>
              </a:defRPr>
            </a:pPr>
            <a:endParaRPr lang="ru-RU"/>
          </a:p>
        </c:txPr>
        <c:crossAx val="111485312"/>
        <c:crosses val="autoZero"/>
        <c:crossBetween val="between"/>
      </c:valAx>
      <c:spPr>
        <a:noFill/>
        <a:ln w="25400">
          <a:noFill/>
        </a:ln>
      </c:spPr>
    </c:plotArea>
    <c:legend>
      <c:legendPos val="b"/>
      <c:layout>
        <c:manualLayout>
          <c:xMode val="edge"/>
          <c:yMode val="edge"/>
          <c:x val="0.18923327895595432"/>
          <c:y val="0.89020771513353114"/>
          <c:w val="0.66068515497553015"/>
          <c:h val="7.1216617210682495E-2"/>
        </c:manualLayout>
      </c:layout>
      <c:overlay val="0"/>
      <c:spPr>
        <a:noFill/>
        <a:ln w="3175">
          <a:solidFill>
            <a:srgbClr val="000000"/>
          </a:solidFill>
          <a:prstDash val="solid"/>
        </a:ln>
      </c:spPr>
      <c:txPr>
        <a:bodyPr/>
        <a:lstStyle/>
        <a:p>
          <a:pPr>
            <a:defRPr sz="895" b="1"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6"/>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1123244929797195E-2"/>
          <c:y val="2.155684734460183E-2"/>
          <c:w val="0.91887670583233172"/>
          <c:h val="0.82722450120411173"/>
        </c:manualLayout>
      </c:layout>
      <c:bar3DChart>
        <c:barDir val="col"/>
        <c:grouping val="clustered"/>
        <c:varyColors val="0"/>
        <c:ser>
          <c:idx val="0"/>
          <c:order val="0"/>
          <c:tx>
            <c:strRef>
              <c:f>Sheet1!$A$2</c:f>
              <c:strCache>
                <c:ptCount val="1"/>
                <c:pt idx="0">
                  <c:v>2017</c:v>
                </c:pt>
              </c:strCache>
            </c:strRef>
          </c:tx>
          <c:spPr>
            <a:gradFill flip="none" rotWithShape="1">
              <a:gsLst>
                <a:gs pos="43000">
                  <a:schemeClr val="accent4">
                    <a:lumMod val="60000"/>
                    <a:lumOff val="40000"/>
                  </a:schemeClr>
                </a:gs>
                <a:gs pos="81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7.1263521966296265E-3"/>
                  <c:y val="0.23808314283295234"/>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8523.9</c:v>
                </c:pt>
              </c:numCache>
            </c:numRef>
          </c:val>
        </c:ser>
        <c:ser>
          <c:idx val="1"/>
          <c:order val="1"/>
          <c:tx>
            <c:strRef>
              <c:f>Sheet1!$A$3</c:f>
              <c:strCache>
                <c:ptCount val="1"/>
                <c:pt idx="0">
                  <c:v>2018</c:v>
                </c:pt>
              </c:strCache>
            </c:strRef>
          </c:tx>
          <c:spPr>
            <a:gradFill flip="none" rotWithShape="1">
              <a:gsLst>
                <a:gs pos="43000">
                  <a:srgbClr val="C0000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5.4163089426905748E-3"/>
                  <c:y val="0.1457068269692095"/>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4790.5</c:v>
                </c:pt>
              </c:numCache>
            </c:numRef>
          </c:val>
        </c:ser>
        <c:ser>
          <c:idx val="2"/>
          <c:order val="2"/>
          <c:tx>
            <c:strRef>
              <c:f>Sheet1!$A$4</c:f>
              <c:strCache>
                <c:ptCount val="1"/>
                <c:pt idx="0">
                  <c:v>2019</c:v>
                </c:pt>
              </c:strCache>
            </c:strRef>
          </c:tx>
          <c:spPr>
            <a:gradFill flip="none" rotWithShape="1">
              <a:gsLst>
                <a:gs pos="43000">
                  <a:srgbClr val="FFC00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4.0616184659160596E-3"/>
                  <c:y val="0.16204272852990151"/>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10468.200000000001</c:v>
                </c:pt>
              </c:numCache>
            </c:numRef>
          </c:val>
        </c:ser>
        <c:ser>
          <c:idx val="3"/>
          <c:order val="3"/>
          <c:tx>
            <c:strRef>
              <c:f>Sheet1!$A$5</c:f>
              <c:strCache>
                <c:ptCount val="1"/>
                <c:pt idx="0">
                  <c:v>2020</c:v>
                </c:pt>
              </c:strCache>
            </c:strRef>
          </c:tx>
          <c:spPr>
            <a:gradFill flip="none" rotWithShape="1">
              <a:gsLst>
                <a:gs pos="43000">
                  <a:srgbClr val="00B0F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3.5311240300569904E-3"/>
                  <c:y val="8.8167527446166002E-2"/>
                </c:manualLayout>
              </c:layout>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Sheet1!$B$5:$B$5</c:f>
              <c:numCache>
                <c:formatCode>0.0</c:formatCode>
                <c:ptCount val="1"/>
                <c:pt idx="0">
                  <c:v>1367.8</c:v>
                </c:pt>
              </c:numCache>
            </c:numRef>
          </c:val>
        </c:ser>
        <c:dLbls>
          <c:showLegendKey val="0"/>
          <c:showVal val="0"/>
          <c:showCatName val="0"/>
          <c:showSerName val="0"/>
          <c:showPercent val="0"/>
          <c:showBubbleSize val="0"/>
        </c:dLbls>
        <c:gapWidth val="150"/>
        <c:gapDepth val="10"/>
        <c:shape val="box"/>
        <c:axId val="111536768"/>
        <c:axId val="111559040"/>
        <c:axId val="0"/>
      </c:bar3DChart>
      <c:catAx>
        <c:axId val="111536768"/>
        <c:scaling>
          <c:orientation val="minMax"/>
        </c:scaling>
        <c:delete val="0"/>
        <c:axPos val="b"/>
        <c:numFmt formatCode="General" sourceLinked="1"/>
        <c:majorTickMark val="out"/>
        <c:minorTickMark val="none"/>
        <c:tickLblPos val="low"/>
        <c:spPr>
          <a:ln w="12667">
            <a:solidFill>
              <a:srgbClr val="FFFFFF"/>
            </a:solidFill>
            <a:prstDash val="solid"/>
          </a:ln>
        </c:spPr>
        <c:txPr>
          <a:bodyPr rot="0" vert="horz"/>
          <a:lstStyle/>
          <a:p>
            <a:pPr>
              <a:defRPr sz="1720" b="1" i="0" u="none" strike="noStrike" baseline="0">
                <a:solidFill>
                  <a:srgbClr val="000000"/>
                </a:solidFill>
                <a:latin typeface="Calibri"/>
                <a:ea typeface="Calibri"/>
                <a:cs typeface="Calibri"/>
              </a:defRPr>
            </a:pPr>
            <a:endParaRPr lang="ru-RU"/>
          </a:p>
        </c:txPr>
        <c:crossAx val="111559040"/>
        <c:crosses val="autoZero"/>
        <c:auto val="1"/>
        <c:lblAlgn val="ctr"/>
        <c:lblOffset val="100"/>
        <c:tickLblSkip val="1"/>
        <c:tickMarkSkip val="1"/>
        <c:noMultiLvlLbl val="0"/>
      </c:catAx>
      <c:valAx>
        <c:axId val="111559040"/>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Times New Roman" pitchFamily="18" charset="0"/>
                <a:ea typeface="Arial"/>
                <a:cs typeface="Times New Roman" pitchFamily="18" charset="0"/>
              </a:defRPr>
            </a:pPr>
            <a:endParaRPr lang="ru-RU"/>
          </a:p>
        </c:txPr>
        <c:crossAx val="111536768"/>
        <c:crosses val="autoZero"/>
        <c:crossBetween val="between"/>
      </c:valAx>
      <c:spPr>
        <a:noFill/>
        <a:ln w="25333">
          <a:noFill/>
        </a:ln>
      </c:spPr>
    </c:plotArea>
    <c:legend>
      <c:legendPos val="r"/>
      <c:layout>
        <c:manualLayout>
          <c:xMode val="edge"/>
          <c:yMode val="edge"/>
          <c:x val="0.20228158396088339"/>
          <c:y val="0.85091176528713763"/>
          <c:w val="0.62402496099843996"/>
          <c:h val="6.5040650406504072E-2"/>
        </c:manualLayout>
      </c:layout>
      <c:overlay val="0"/>
      <c:spPr>
        <a:noFill/>
        <a:ln w="3167">
          <a:solidFill>
            <a:srgbClr val="000000"/>
          </a:solidFill>
          <a:prstDash val="solid"/>
        </a:ln>
      </c:spPr>
      <c:txPr>
        <a:bodyPr/>
        <a:lstStyle/>
        <a:p>
          <a:pPr>
            <a:defRPr sz="100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270280168467313E-2"/>
          <c:y val="3.3485540334855401E-2"/>
          <c:w val="0.90701923941750273"/>
          <c:h val="0.80702930482313562"/>
        </c:manualLayout>
      </c:layout>
      <c:bar3DChart>
        <c:barDir val="col"/>
        <c:grouping val="clustered"/>
        <c:varyColors val="0"/>
        <c:ser>
          <c:idx val="0"/>
          <c:order val="0"/>
          <c:tx>
            <c:strRef>
              <c:f>Лист1!$A$2</c:f>
              <c:strCache>
                <c:ptCount val="1"/>
                <c:pt idx="0">
                  <c:v>Общий объем заимствований (млн. руб.)</c:v>
                </c:pt>
              </c:strCache>
            </c:strRef>
          </c:tx>
          <c:spPr>
            <a:solidFill>
              <a:srgbClr val="0000FF"/>
            </a:solidFill>
            <a:ln w="12700">
              <a:solidFill>
                <a:sysClr val="windowText" lastClr="000000"/>
              </a:solidFill>
            </a:ln>
          </c:spPr>
          <c:invertIfNegative val="0"/>
          <c:dLbls>
            <c:dLbl>
              <c:idx val="0"/>
              <c:layout>
                <c:manualLayout>
                  <c:x val="2.0768431983385254E-3"/>
                  <c:y val="-1.912568306010929E-2"/>
                </c:manualLayout>
              </c:layout>
              <c:showLegendKey val="0"/>
              <c:showVal val="1"/>
              <c:showCatName val="0"/>
              <c:showSerName val="0"/>
              <c:showPercent val="0"/>
              <c:showBubbleSize val="0"/>
            </c:dLbl>
            <c:dLbl>
              <c:idx val="1"/>
              <c:layout>
                <c:manualLayout>
                  <c:x val="-2.0833333333333332E-2"/>
                  <c:y val="0"/>
                </c:manualLayout>
              </c:layout>
              <c:showLegendKey val="0"/>
              <c:showVal val="1"/>
              <c:showCatName val="0"/>
              <c:showSerName val="0"/>
              <c:showPercent val="0"/>
              <c:showBubbleSize val="0"/>
            </c:dLbl>
            <c:dLbl>
              <c:idx val="2"/>
              <c:layout>
                <c:manualLayout>
                  <c:x val="7.6150037580680326E-17"/>
                  <c:y val="2.2765801815756636E-3"/>
                </c:manualLayout>
              </c:layout>
              <c:showLegendKey val="0"/>
              <c:showVal val="1"/>
              <c:showCatName val="0"/>
              <c:showSerName val="0"/>
              <c:showPercent val="0"/>
              <c:showBubbleSize val="0"/>
            </c:dLbl>
            <c:dLbl>
              <c:idx val="3"/>
              <c:layout>
                <c:manualLayout>
                  <c:x val="-8.3073727933541015E-3"/>
                  <c:y val="-1.6914074265307001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2017 (план)</c:v>
                </c:pt>
                <c:pt idx="1">
                  <c:v>2018 (прогноз)</c:v>
                </c:pt>
                <c:pt idx="2">
                  <c:v>2019 (прогноз)</c:v>
                </c:pt>
                <c:pt idx="3">
                  <c:v>2020 (прогноз)</c:v>
                </c:pt>
              </c:strCache>
            </c:strRef>
          </c:cat>
          <c:val>
            <c:numRef>
              <c:f>Лист1!$B$2:$E$2</c:f>
              <c:numCache>
                <c:formatCode>General</c:formatCode>
                <c:ptCount val="4"/>
                <c:pt idx="0">
                  <c:v>9863.4</c:v>
                </c:pt>
                <c:pt idx="1">
                  <c:v>4790.5</c:v>
                </c:pt>
                <c:pt idx="2">
                  <c:v>10468.200000000001</c:v>
                </c:pt>
                <c:pt idx="3">
                  <c:v>1367.8</c:v>
                </c:pt>
              </c:numCache>
            </c:numRef>
          </c:val>
        </c:ser>
        <c:ser>
          <c:idx val="1"/>
          <c:order val="1"/>
          <c:tx>
            <c:strRef>
              <c:f>Лист1!$A$3</c:f>
              <c:strCache>
                <c:ptCount val="1"/>
                <c:pt idx="0">
                  <c:v>Общий объем расходов на погашение и обслуживание государственного долга (млн. руб.)</c:v>
                </c:pt>
              </c:strCache>
            </c:strRef>
          </c:tx>
          <c:spPr>
            <a:solidFill>
              <a:srgbClr val="FF0000"/>
            </a:solidFill>
            <a:ln w="12700">
              <a:solidFill>
                <a:sysClr val="windowText" lastClr="000000"/>
              </a:solidFill>
            </a:ln>
          </c:spPr>
          <c:invertIfNegative val="0"/>
          <c:dLbls>
            <c:dLbl>
              <c:idx val="0"/>
              <c:layout>
                <c:manualLayout>
                  <c:x val="2.7063883369718971E-2"/>
                  <c:y val="-9.3050325231085248E-3"/>
                </c:manualLayout>
              </c:layout>
              <c:showLegendKey val="0"/>
              <c:showVal val="1"/>
              <c:showCatName val="0"/>
              <c:showSerName val="0"/>
              <c:showPercent val="0"/>
              <c:showBubbleSize val="0"/>
            </c:dLbl>
            <c:dLbl>
              <c:idx val="1"/>
              <c:layout>
                <c:manualLayout>
                  <c:x val="2.0833333333333332E-2"/>
                  <c:y val="-3.9682539682539594E-3"/>
                </c:manualLayout>
              </c:layout>
              <c:showLegendKey val="0"/>
              <c:showVal val="1"/>
              <c:showCatName val="0"/>
              <c:showSerName val="0"/>
              <c:showPercent val="0"/>
              <c:showBubbleSize val="0"/>
            </c:dLbl>
            <c:dLbl>
              <c:idx val="2"/>
              <c:layout>
                <c:manualLayout>
                  <c:x val="1.7804596855299629E-2"/>
                  <c:y val="6.527444938947849E-4"/>
                </c:manualLayout>
              </c:layout>
              <c:showLegendKey val="0"/>
              <c:showVal val="1"/>
              <c:showCatName val="0"/>
              <c:showSerName val="0"/>
              <c:showPercent val="0"/>
              <c:showBubbleSize val="0"/>
            </c:dLbl>
            <c:dLbl>
              <c:idx val="3"/>
              <c:layout>
                <c:manualLayout>
                  <c:x val="1.8518573028838685E-2"/>
                  <c:y val="-2.235079310738331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2017 (план)</c:v>
                </c:pt>
                <c:pt idx="1">
                  <c:v>2018 (прогноз)</c:v>
                </c:pt>
                <c:pt idx="2">
                  <c:v>2019 (прогноз)</c:v>
                </c:pt>
                <c:pt idx="3">
                  <c:v>2020 (прогноз)</c:v>
                </c:pt>
              </c:strCache>
            </c:strRef>
          </c:cat>
          <c:val>
            <c:numRef>
              <c:f>Лист1!$B$3:$E$3</c:f>
              <c:numCache>
                <c:formatCode>General</c:formatCode>
                <c:ptCount val="4"/>
                <c:pt idx="0">
                  <c:v>14288.1</c:v>
                </c:pt>
                <c:pt idx="1">
                  <c:v>10723.2</c:v>
                </c:pt>
                <c:pt idx="2">
                  <c:v>13436.4</c:v>
                </c:pt>
                <c:pt idx="3">
                  <c:v>6210.5</c:v>
                </c:pt>
              </c:numCache>
            </c:numRef>
          </c:val>
        </c:ser>
        <c:ser>
          <c:idx val="2"/>
          <c:order val="2"/>
          <c:tx>
            <c:strRef>
              <c:f>Лист1!$A$4</c:f>
              <c:strCache>
                <c:ptCount val="1"/>
              </c:strCache>
            </c:strRef>
          </c:tx>
          <c:spPr>
            <a:noFill/>
          </c:spPr>
          <c:invertIfNegative val="0"/>
          <c:dLbls>
            <c:dLbl>
              <c:idx val="0"/>
              <c:layout>
                <c:manualLayout>
                  <c:x val="2.0671834625322998E-2"/>
                  <c:y val="-2.1308980213089801E-2"/>
                </c:manualLayout>
              </c:layout>
              <c:tx>
                <c:rich>
                  <a:bodyPr/>
                  <a:lstStyle/>
                  <a:p>
                    <a:r>
                      <a:rPr lang="en-US"/>
                      <a:t>66,7</a:t>
                    </a:r>
                    <a:r>
                      <a:rPr lang="ru-RU"/>
                      <a:t>%</a:t>
                    </a:r>
                    <a:endParaRPr lang="en-US"/>
                  </a:p>
                </c:rich>
              </c:tx>
              <c:showLegendKey val="0"/>
              <c:showVal val="1"/>
              <c:showCatName val="0"/>
              <c:showSerName val="0"/>
              <c:showPercent val="0"/>
              <c:showBubbleSize val="0"/>
            </c:dLbl>
            <c:dLbl>
              <c:idx val="1"/>
              <c:layout>
                <c:manualLayout>
                  <c:x val="2.6873385012919897E-2"/>
                  <c:y val="-1.8264840182648401E-2"/>
                </c:manualLayout>
              </c:layout>
              <c:tx>
                <c:rich>
                  <a:bodyPr/>
                  <a:lstStyle/>
                  <a:p>
                    <a:r>
                      <a:rPr lang="en-US"/>
                      <a:t>94,9</a:t>
                    </a:r>
                    <a:r>
                      <a:rPr lang="ru-RU"/>
                      <a:t>%</a:t>
                    </a:r>
                    <a:endParaRPr lang="en-US"/>
                  </a:p>
                </c:rich>
              </c:tx>
              <c:showLegendKey val="0"/>
              <c:showVal val="1"/>
              <c:showCatName val="0"/>
              <c:showSerName val="0"/>
              <c:showPercent val="0"/>
              <c:showBubbleSize val="0"/>
            </c:dLbl>
            <c:dLbl>
              <c:idx val="2"/>
              <c:layout>
                <c:manualLayout>
                  <c:x val="2.8940405705100817E-2"/>
                  <c:y val="-1.8264840182648401E-2"/>
                </c:manualLayout>
              </c:layout>
              <c:tx>
                <c:rich>
                  <a:bodyPr/>
                  <a:lstStyle/>
                  <a:p>
                    <a:r>
                      <a:rPr lang="en-US"/>
                      <a:t>91,3</a:t>
                    </a:r>
                    <a:r>
                      <a:rPr lang="ru-RU"/>
                      <a:t>%</a:t>
                    </a:r>
                    <a:endParaRPr lang="en-US"/>
                  </a:p>
                </c:rich>
              </c:tx>
              <c:showLegendKey val="0"/>
              <c:showVal val="1"/>
              <c:showCatName val="0"/>
              <c:showSerName val="0"/>
              <c:showPercent val="0"/>
              <c:showBubbleSize val="0"/>
            </c:dLbl>
            <c:dLbl>
              <c:idx val="3"/>
              <c:layout>
                <c:manualLayout>
                  <c:x val="2.8940568475452195E-2"/>
                  <c:y val="-1.8264840182648401E-2"/>
                </c:manualLayout>
              </c:layout>
              <c:tx>
                <c:rich>
                  <a:bodyPr/>
                  <a:lstStyle/>
                  <a:p>
                    <a:r>
                      <a:rPr lang="en-US"/>
                      <a:t>94,8</a:t>
                    </a:r>
                    <a:r>
                      <a:rPr lang="ru-RU"/>
                      <a:t>%</a:t>
                    </a:r>
                    <a:endParaRPr lang="en-US"/>
                  </a:p>
                </c:rich>
              </c:tx>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2017 (план)</c:v>
                </c:pt>
                <c:pt idx="1">
                  <c:v>2018 (прогноз)</c:v>
                </c:pt>
                <c:pt idx="2">
                  <c:v>2019 (прогноз)</c:v>
                </c:pt>
                <c:pt idx="3">
                  <c:v>2020 (прогноз)</c:v>
                </c:pt>
              </c:strCache>
            </c:strRef>
          </c:cat>
          <c:val>
            <c:numRef>
              <c:f>Лист1!$B$4:$E$4</c:f>
              <c:numCache>
                <c:formatCode>General</c:formatCode>
                <c:ptCount val="4"/>
              </c:numCache>
            </c:numRef>
          </c:val>
        </c:ser>
        <c:dLbls>
          <c:showLegendKey val="0"/>
          <c:showVal val="1"/>
          <c:showCatName val="0"/>
          <c:showSerName val="0"/>
          <c:showPercent val="0"/>
          <c:showBubbleSize val="0"/>
        </c:dLbls>
        <c:gapWidth val="150"/>
        <c:shape val="pyramid"/>
        <c:axId val="41626624"/>
        <c:axId val="41652992"/>
        <c:axId val="0"/>
      </c:bar3DChart>
      <c:catAx>
        <c:axId val="41626624"/>
        <c:scaling>
          <c:orientation val="minMax"/>
        </c:scaling>
        <c:delete val="0"/>
        <c:axPos val="b"/>
        <c:majorTickMark val="out"/>
        <c:minorTickMark val="none"/>
        <c:tickLblPos val="nextTo"/>
        <c:txPr>
          <a:bodyPr/>
          <a:lstStyle/>
          <a:p>
            <a:pPr>
              <a:defRPr sz="1100" b="1" i="1">
                <a:latin typeface="Times New Roman" pitchFamily="18" charset="0"/>
                <a:cs typeface="Times New Roman" pitchFamily="18" charset="0"/>
              </a:defRPr>
            </a:pPr>
            <a:endParaRPr lang="ru-RU"/>
          </a:p>
        </c:txPr>
        <c:crossAx val="41652992"/>
        <c:crosses val="autoZero"/>
        <c:auto val="1"/>
        <c:lblAlgn val="ctr"/>
        <c:lblOffset val="100"/>
        <c:noMultiLvlLbl val="0"/>
      </c:catAx>
      <c:valAx>
        <c:axId val="41652992"/>
        <c:scaling>
          <c:orientation val="minMax"/>
        </c:scaling>
        <c:delete val="0"/>
        <c:axPos val="l"/>
        <c:majorGridlines/>
        <c:numFmt formatCode="General" sourceLinked="1"/>
        <c:majorTickMark val="out"/>
        <c:minorTickMark val="none"/>
        <c:tickLblPos val="nextTo"/>
        <c:txPr>
          <a:bodyPr/>
          <a:lstStyle/>
          <a:p>
            <a:pPr>
              <a:defRPr sz="1000" b="1" i="0">
                <a:latin typeface="Times New Roman" pitchFamily="18" charset="0"/>
                <a:cs typeface="Times New Roman" pitchFamily="18" charset="0"/>
              </a:defRPr>
            </a:pPr>
            <a:endParaRPr lang="ru-RU"/>
          </a:p>
        </c:txPr>
        <c:crossAx val="41626624"/>
        <c:crosses val="autoZero"/>
        <c:crossBetween val="between"/>
      </c:valAx>
    </c:plotArea>
    <c:legend>
      <c:legendPos val="b"/>
      <c:layout>
        <c:manualLayout>
          <c:xMode val="edge"/>
          <c:yMode val="edge"/>
          <c:x val="9.5490667833187538E-3"/>
          <c:y val="0.90292607891226706"/>
          <c:w val="0.97395723972003501"/>
          <c:h val="9.7073853910553676E-2"/>
        </c:manualLayout>
      </c:layout>
      <c:overlay val="0"/>
      <c:txPr>
        <a:bodyPr/>
        <a:lstStyle/>
        <a:p>
          <a:pPr>
            <a:defRPr sz="1100"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088353413654619E-2"/>
          <c:y val="9.5238095238095233E-2"/>
          <c:w val="0.95582329317269077"/>
          <c:h val="0.50260076526578756"/>
        </c:manualLayout>
      </c:layout>
      <c:line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softEdge rad="0"/>
            </a:effectLst>
          </c:spPr>
          <c:marker>
            <c:spPr>
              <a:effectLst/>
            </c:spPr>
          </c:marker>
          <c:dLbls>
            <c:dLbl>
              <c:idx val="2"/>
              <c:layout>
                <c:manualLayout>
                  <c:x val="-6.6466098794791637E-2"/>
                  <c:y val="-6.6808496903544679E-2"/>
                </c:manualLayout>
              </c:layout>
              <c:dLblPos val="r"/>
              <c:showLegendKey val="0"/>
              <c:showVal val="1"/>
              <c:showCatName val="0"/>
              <c:showSerName val="0"/>
              <c:showPercent val="0"/>
              <c:showBubbleSize val="0"/>
            </c:dLbl>
            <c:dLbl>
              <c:idx val="3"/>
              <c:layout>
                <c:manualLayout>
                  <c:x val="-6.4459577442402646E-2"/>
                  <c:y val="-7.4307911011817454E-2"/>
                </c:manualLayout>
              </c:layout>
              <c:dLblPos val="r"/>
              <c:showLegendKey val="0"/>
              <c:showVal val="1"/>
              <c:showCatName val="0"/>
              <c:showSerName val="0"/>
              <c:showPercent val="0"/>
              <c:showBubbleSize val="0"/>
            </c:dLbl>
            <c:dLbl>
              <c:idx val="4"/>
              <c:layout>
                <c:manualLayout>
                  <c:x val="-6.2453056090013497E-2"/>
                  <c:y val="-6.9852327218073815E-2"/>
                </c:manualLayout>
              </c:layout>
              <c:dLblPos val="r"/>
              <c:showLegendKey val="0"/>
              <c:showVal val="1"/>
              <c:showCatName val="0"/>
              <c:showSerName val="0"/>
              <c:showPercent val="0"/>
              <c:showBubbleSize val="0"/>
            </c:dLbl>
            <c:spPr>
              <a:solidFill>
                <a:srgbClr val="8064A2">
                  <a:lumMod val="60000"/>
                  <a:lumOff val="40000"/>
                </a:srgbClr>
              </a:solidFill>
              <a:ln w="28575">
                <a:solidFill>
                  <a:srgbClr val="7030A0"/>
                </a:solidFill>
              </a:ln>
            </c:spPr>
            <c:txPr>
              <a:bodyPr anchor="t" anchorCtr="1"/>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strRef>
              <c:f>Лист1!$A$2:$A$6</c:f>
              <c:strCache>
                <c:ptCount val="5"/>
                <c:pt idx="0">
                  <c:v>2016</c:v>
                </c:pt>
                <c:pt idx="1">
                  <c:v>2017 (оценка)</c:v>
                </c:pt>
                <c:pt idx="2">
                  <c:v>2018 (прогноз)</c:v>
                </c:pt>
                <c:pt idx="3">
                  <c:v>2019 (прогноз)</c:v>
                </c:pt>
                <c:pt idx="4">
                  <c:v>2020 (прогноз)</c:v>
                </c:pt>
              </c:strCache>
            </c:strRef>
          </c:cat>
          <c:val>
            <c:numRef>
              <c:f>Лист1!$B$2:$B$6</c:f>
              <c:numCache>
                <c:formatCode>0.00</c:formatCode>
                <c:ptCount val="5"/>
                <c:pt idx="0">
                  <c:v>29606</c:v>
                </c:pt>
                <c:pt idx="1">
                  <c:v>31613.01</c:v>
                </c:pt>
                <c:pt idx="2">
                  <c:v>33738.559999999998</c:v>
                </c:pt>
                <c:pt idx="3">
                  <c:v>35775.519999999997</c:v>
                </c:pt>
                <c:pt idx="4">
                  <c:v>37898.53</c:v>
                </c:pt>
              </c:numCache>
            </c:numRef>
          </c:val>
          <c:smooth val="0"/>
        </c:ser>
        <c:ser>
          <c:idx val="1"/>
          <c:order val="1"/>
          <c:tx>
            <c:strRef>
              <c:f>Лист1!$C$1</c:f>
              <c:strCache>
                <c:ptCount val="1"/>
                <c:pt idx="0">
                  <c:v>Величина прожиточного минимума (в среднем на душу населения), рублей в месяц</c:v>
                </c:pt>
              </c:strCache>
            </c:strRef>
          </c:tx>
          <c:spPr>
            <a:ln>
              <a:solidFill>
                <a:srgbClr val="C00000"/>
              </a:solidFill>
            </a:ln>
          </c:spPr>
          <c:marker>
            <c:spPr>
              <a:solidFill>
                <a:srgbClr val="C00000"/>
              </a:solidFill>
            </c:spPr>
          </c:marker>
          <c:dLbls>
            <c:spPr>
              <a:solidFill>
                <a:srgbClr val="C0504D">
                  <a:lumMod val="60000"/>
                  <a:lumOff val="40000"/>
                </a:srgbClr>
              </a:solidFill>
              <a:ln w="28575">
                <a:solidFill>
                  <a:srgbClr val="C00000"/>
                </a:solidFill>
              </a:ln>
            </c:spPr>
            <c:txPr>
              <a:bodyPr/>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strRef>
              <c:f>Лист1!$A$2:$A$6</c:f>
              <c:strCache>
                <c:ptCount val="5"/>
                <c:pt idx="0">
                  <c:v>2016</c:v>
                </c:pt>
                <c:pt idx="1">
                  <c:v>2017 (оценка)</c:v>
                </c:pt>
                <c:pt idx="2">
                  <c:v>2018 (прогноз)</c:v>
                </c:pt>
                <c:pt idx="3">
                  <c:v>2019 (прогноз)</c:v>
                </c:pt>
                <c:pt idx="4">
                  <c:v>2020 (прогноз)</c:v>
                </c:pt>
              </c:strCache>
            </c:strRef>
          </c:cat>
          <c:val>
            <c:numRef>
              <c:f>Лист1!$C$2:$C$6</c:f>
              <c:numCache>
                <c:formatCode>0.00</c:formatCode>
                <c:ptCount val="5"/>
                <c:pt idx="0">
                  <c:v>11540</c:v>
                </c:pt>
                <c:pt idx="1">
                  <c:v>11577</c:v>
                </c:pt>
                <c:pt idx="2">
                  <c:v>12040</c:v>
                </c:pt>
                <c:pt idx="3">
                  <c:v>12522</c:v>
                </c:pt>
                <c:pt idx="4">
                  <c:v>13023</c:v>
                </c:pt>
              </c:numCache>
            </c:numRef>
          </c:val>
          <c:smooth val="0"/>
        </c:ser>
        <c:dLbls>
          <c:showLegendKey val="0"/>
          <c:showVal val="1"/>
          <c:showCatName val="0"/>
          <c:showSerName val="0"/>
          <c:showPercent val="0"/>
          <c:showBubbleSize val="0"/>
        </c:dLbls>
        <c:marker val="1"/>
        <c:smooth val="0"/>
        <c:axId val="103450496"/>
        <c:axId val="103461632"/>
      </c:line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c:v>
                </c:pt>
              </c:strCache>
            </c:strRef>
          </c:tx>
          <c:spPr>
            <a:ln>
              <a:solidFill>
                <a:srgbClr val="92D050"/>
              </a:solidFill>
            </a:ln>
          </c:spPr>
          <c:marker>
            <c:symbol val="square"/>
            <c:size val="13"/>
            <c:spPr>
              <a:solidFill>
                <a:srgbClr val="92D050"/>
              </a:solidFill>
            </c:spPr>
          </c:marker>
          <c:dLbls>
            <c:dLbl>
              <c:idx val="2"/>
              <c:layout>
                <c:manualLayout>
                  <c:x val="-5.6684228204991277E-2"/>
                  <c:y val="6.8160597572362272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nchor="t" anchorCtr="0"/>
              <a:lstStyle/>
              <a:p>
                <a:pPr>
                  <a:defRPr sz="1000" b="1">
                    <a:solidFill>
                      <a:sysClr val="windowText" lastClr="000000"/>
                    </a:solidFill>
                  </a:defRPr>
                </a:pPr>
                <a:endParaRPr lang="ru-RU"/>
              </a:p>
            </c:txPr>
            <c:dLblPos val="t"/>
            <c:showLegendKey val="0"/>
            <c:showVal val="1"/>
            <c:showCatName val="0"/>
            <c:showSerName val="0"/>
            <c:showPercent val="0"/>
            <c:showBubbleSize val="0"/>
            <c:showLeaderLines val="0"/>
          </c:dLbls>
          <c:cat>
            <c:strRef>
              <c:f>Лист1!$A$2:$A$6</c:f>
              <c:strCache>
                <c:ptCount val="5"/>
                <c:pt idx="0">
                  <c:v>2016</c:v>
                </c:pt>
                <c:pt idx="1">
                  <c:v>2017 (оценка)</c:v>
                </c:pt>
                <c:pt idx="2">
                  <c:v>2018 (прогноз)</c:v>
                </c:pt>
                <c:pt idx="3">
                  <c:v>2019 (прогноз)</c:v>
                </c:pt>
                <c:pt idx="4">
                  <c:v>2020 (прогноз)</c:v>
                </c:pt>
              </c:strCache>
            </c:strRef>
          </c:cat>
          <c:val>
            <c:numRef>
              <c:f>Лист1!$D$2:$D$6</c:f>
              <c:numCache>
                <c:formatCode>0.00</c:formatCode>
                <c:ptCount val="5"/>
                <c:pt idx="0">
                  <c:v>0.161</c:v>
                </c:pt>
                <c:pt idx="1">
                  <c:v>0.155</c:v>
                </c:pt>
                <c:pt idx="2">
                  <c:v>0.14199999999999999</c:v>
                </c:pt>
                <c:pt idx="3">
                  <c:v>0.13500000000000001</c:v>
                </c:pt>
                <c:pt idx="4">
                  <c:v>0.13300000000000001</c:v>
                </c:pt>
              </c:numCache>
            </c:numRef>
          </c:val>
          <c:smooth val="0"/>
        </c:ser>
        <c:dLbls>
          <c:showLegendKey val="0"/>
          <c:showVal val="1"/>
          <c:showCatName val="0"/>
          <c:showSerName val="0"/>
          <c:showPercent val="0"/>
          <c:showBubbleSize val="0"/>
        </c:dLbls>
        <c:marker val="1"/>
        <c:smooth val="0"/>
        <c:axId val="103473152"/>
        <c:axId val="103463168"/>
      </c:lineChart>
      <c:catAx>
        <c:axId val="103450496"/>
        <c:scaling>
          <c:orientation val="minMax"/>
        </c:scaling>
        <c:delete val="0"/>
        <c:axPos val="b"/>
        <c:numFmt formatCode="General" sourceLinked="1"/>
        <c:majorTickMark val="out"/>
        <c:minorTickMark val="none"/>
        <c:tickLblPos val="nextTo"/>
        <c:txPr>
          <a:bodyPr/>
          <a:lstStyle/>
          <a:p>
            <a:pPr>
              <a:defRPr b="1"/>
            </a:pPr>
            <a:endParaRPr lang="ru-RU"/>
          </a:p>
        </c:txPr>
        <c:crossAx val="103461632"/>
        <c:crosses val="autoZero"/>
        <c:auto val="1"/>
        <c:lblAlgn val="ctr"/>
        <c:lblOffset val="100"/>
        <c:noMultiLvlLbl val="0"/>
      </c:catAx>
      <c:valAx>
        <c:axId val="103461632"/>
        <c:scaling>
          <c:orientation val="minMax"/>
        </c:scaling>
        <c:delete val="0"/>
        <c:axPos val="l"/>
        <c:majorGridlines>
          <c:spPr>
            <a:ln>
              <a:noFill/>
            </a:ln>
          </c:spPr>
        </c:majorGridlines>
        <c:numFmt formatCode="0.00" sourceLinked="1"/>
        <c:majorTickMark val="none"/>
        <c:minorTickMark val="none"/>
        <c:tickLblPos val="none"/>
        <c:spPr>
          <a:noFill/>
          <a:ln>
            <a:noFill/>
          </a:ln>
        </c:spPr>
        <c:crossAx val="103450496"/>
        <c:crosses val="autoZero"/>
        <c:crossBetween val="between"/>
      </c:valAx>
      <c:valAx>
        <c:axId val="103463168"/>
        <c:scaling>
          <c:orientation val="minMax"/>
          <c:max val="0.17"/>
          <c:min val="0.1"/>
        </c:scaling>
        <c:delete val="0"/>
        <c:axPos val="r"/>
        <c:numFmt formatCode="0.0%" sourceLinked="0"/>
        <c:majorTickMark val="none"/>
        <c:minorTickMark val="none"/>
        <c:tickLblPos val="none"/>
        <c:spPr>
          <a:noFill/>
          <a:ln>
            <a:noFill/>
          </a:ln>
        </c:spPr>
        <c:crossAx val="103473152"/>
        <c:crosses val="max"/>
        <c:crossBetween val="between"/>
        <c:majorUnit val="0.8"/>
      </c:valAx>
      <c:catAx>
        <c:axId val="103473152"/>
        <c:scaling>
          <c:orientation val="minMax"/>
        </c:scaling>
        <c:delete val="1"/>
        <c:axPos val="b"/>
        <c:numFmt formatCode="General" sourceLinked="1"/>
        <c:majorTickMark val="out"/>
        <c:minorTickMark val="none"/>
        <c:tickLblPos val="nextTo"/>
        <c:crossAx val="103463168"/>
        <c:crosses val="autoZero"/>
        <c:auto val="1"/>
        <c:lblAlgn val="ctr"/>
        <c:lblOffset val="100"/>
        <c:noMultiLvlLbl val="0"/>
      </c:catAx>
    </c:plotArea>
    <c:legend>
      <c:legendPos val="b"/>
      <c:layout>
        <c:manualLayout>
          <c:xMode val="edge"/>
          <c:yMode val="edge"/>
          <c:x val="1.2645982328076665E-2"/>
          <c:y val="0.71121992103928189"/>
          <c:w val="0.97074345339620749"/>
          <c:h val="0.2469605851462193"/>
        </c:manualLayout>
      </c:layout>
      <c:overlay val="0"/>
      <c:txPr>
        <a:bodyPr/>
        <a:lstStyle/>
        <a:p>
          <a:pPr>
            <a:defRPr sz="900" b="1"/>
          </a:pPr>
          <a:endParaRPr lang="ru-RU"/>
        </a:p>
      </c:txPr>
    </c:legend>
    <c:plotVisOnly val="1"/>
    <c:dispBlanksAs val="gap"/>
    <c:showDLblsOverMax val="0"/>
  </c:chart>
  <c:spPr>
    <a:solidFill>
      <a:sysClr val="window" lastClr="FFFFFF"/>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603475513428122"/>
          <c:y val="1.6812865497076022E-2"/>
          <c:w val="0.52460848489549627"/>
          <c:h val="0.61460074682035104"/>
        </c:manualLayout>
      </c:layout>
      <c:barChart>
        <c:barDir val="col"/>
        <c:grouping val="clustered"/>
        <c:varyColors val="0"/>
        <c:ser>
          <c:idx val="0"/>
          <c:order val="0"/>
          <c:tx>
            <c:strRef>
              <c:f>Лист1!$B$1</c:f>
              <c:strCache>
                <c:ptCount val="1"/>
                <c:pt idx="0">
                  <c:v>Индекс потребительских цен по России</c:v>
                </c:pt>
              </c:strCache>
            </c:strRef>
          </c:tx>
          <c:spPr>
            <a:solidFill>
              <a:srgbClr val="C0504D">
                <a:lumMod val="75000"/>
              </a:srgbClr>
            </a:solidFill>
          </c:spPr>
          <c:invertIfNegative val="0"/>
          <c:dLbls>
            <c:delete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105.4</c:v>
                </c:pt>
                <c:pt idx="1">
                  <c:v>103.2</c:v>
                </c:pt>
                <c:pt idx="2">
                  <c:v>104</c:v>
                </c:pt>
                <c:pt idx="3">
                  <c:v>104</c:v>
                </c:pt>
                <c:pt idx="4">
                  <c:v>104</c:v>
                </c:pt>
              </c:numCache>
            </c:numRef>
          </c:val>
        </c:ser>
        <c:ser>
          <c:idx val="2"/>
          <c:order val="2"/>
          <c:tx>
            <c:strRef>
              <c:f>Лист1!$D$1</c:f>
              <c:strCache>
                <c:ptCount val="1"/>
                <c:pt idx="0">
                  <c:v>Индекс потребительских цен по Амурской области</c:v>
                </c:pt>
              </c:strCache>
            </c:strRef>
          </c:tx>
          <c:spPr>
            <a:solidFill>
              <a:schemeClr val="tx2">
                <a:lumMod val="60000"/>
                <a:lumOff val="40000"/>
              </a:schemeClr>
            </a:solidFill>
          </c:spPr>
          <c:invertIfNegative val="0"/>
          <c:dLbls>
            <c:delete val="1"/>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c:formatCode>
                <c:ptCount val="5"/>
                <c:pt idx="0">
                  <c:v>105.4</c:v>
                </c:pt>
                <c:pt idx="1">
                  <c:v>103.8</c:v>
                </c:pt>
                <c:pt idx="2">
                  <c:v>104</c:v>
                </c:pt>
                <c:pt idx="3">
                  <c:v>104</c:v>
                </c:pt>
                <c:pt idx="4">
                  <c:v>104</c:v>
                </c:pt>
              </c:numCache>
            </c:numRef>
          </c:val>
        </c:ser>
        <c:dLbls>
          <c:showLegendKey val="0"/>
          <c:showVal val="1"/>
          <c:showCatName val="0"/>
          <c:showSerName val="0"/>
          <c:showPercent val="0"/>
          <c:showBubbleSize val="0"/>
        </c:dLbls>
        <c:gapWidth val="64"/>
        <c:axId val="106445440"/>
        <c:axId val="106447616"/>
      </c:barChart>
      <c:lineChart>
        <c:grouping val="standard"/>
        <c:varyColors val="0"/>
        <c:ser>
          <c:idx val="1"/>
          <c:order val="1"/>
          <c:tx>
            <c:strRef>
              <c:f>Лист1!$C$1</c:f>
              <c:strCache>
                <c:ptCount val="1"/>
                <c:pt idx="0">
                  <c:v>Темп роста тарифов на электроэнергию, отпущенную различным категориям потребителей</c:v>
                </c:pt>
              </c:strCache>
            </c:strRef>
          </c:tx>
          <c:spPr>
            <a:ln>
              <a:solidFill>
                <a:srgbClr val="92D050"/>
              </a:solidFill>
            </a:ln>
          </c:spPr>
          <c:marker>
            <c:spPr>
              <a:solidFill>
                <a:srgbClr val="92D050"/>
              </a:solidFill>
              <a:ln>
                <a:solidFill>
                  <a:srgbClr val="92D050"/>
                </a:solidFill>
              </a:ln>
            </c:spPr>
          </c:marker>
          <c:dLbls>
            <c:delete val="1"/>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103.62770802208057</c:v>
                </c:pt>
                <c:pt idx="1">
                  <c:v>105.78</c:v>
                </c:pt>
                <c:pt idx="2">
                  <c:v>103.82</c:v>
                </c:pt>
                <c:pt idx="3">
                  <c:v>105.05</c:v>
                </c:pt>
                <c:pt idx="4">
                  <c:v>104.63</c:v>
                </c:pt>
              </c:numCache>
            </c:numRef>
          </c:val>
          <c:smooth val="0"/>
        </c:ser>
        <c:dLbls>
          <c:showLegendKey val="0"/>
          <c:showVal val="1"/>
          <c:showCatName val="0"/>
          <c:showSerName val="0"/>
          <c:showPercent val="0"/>
          <c:showBubbleSize val="0"/>
        </c:dLbls>
        <c:marker val="1"/>
        <c:smooth val="0"/>
        <c:axId val="106449152"/>
        <c:axId val="106463616"/>
      </c:lineChart>
      <c:catAx>
        <c:axId val="106445440"/>
        <c:scaling>
          <c:orientation val="minMax"/>
        </c:scaling>
        <c:delete val="0"/>
        <c:axPos val="b"/>
        <c:numFmt formatCode="General" sourceLinked="1"/>
        <c:majorTickMark val="cross"/>
        <c:minorTickMark val="none"/>
        <c:tickLblPos val="nextTo"/>
        <c:txPr>
          <a:bodyPr rot="0" vert="horz"/>
          <a:lstStyle/>
          <a:p>
            <a:pPr>
              <a:defRPr/>
            </a:pPr>
            <a:endParaRPr lang="ru-RU"/>
          </a:p>
        </c:txPr>
        <c:crossAx val="106447616"/>
        <c:crosses val="autoZero"/>
        <c:auto val="0"/>
        <c:lblAlgn val="ctr"/>
        <c:lblOffset val="100"/>
        <c:tickMarkSkip val="1"/>
        <c:noMultiLvlLbl val="0"/>
      </c:catAx>
      <c:valAx>
        <c:axId val="106447616"/>
        <c:scaling>
          <c:orientation val="minMax"/>
          <c:min val="100"/>
        </c:scaling>
        <c:delete val="0"/>
        <c:axPos val="l"/>
        <c:numFmt formatCode="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06445440"/>
        <c:crosses val="autoZero"/>
        <c:crossBetween val="between"/>
        <c:majorUnit val="4"/>
        <c:minorUnit val="1"/>
      </c:valAx>
      <c:catAx>
        <c:axId val="106449152"/>
        <c:scaling>
          <c:orientation val="minMax"/>
        </c:scaling>
        <c:delete val="1"/>
        <c:axPos val="b"/>
        <c:title>
          <c:tx>
            <c:rich>
              <a:bodyPr/>
              <a:lstStyle/>
              <a:p>
                <a:pPr>
                  <a:defRPr b="1">
                    <a:latin typeface="Times New Roman" pitchFamily="18" charset="0"/>
                    <a:cs typeface="Times New Roman" pitchFamily="18" charset="0"/>
                  </a:defRPr>
                </a:pPr>
                <a:r>
                  <a:rPr lang="ru-RU" b="1"/>
                  <a:t>Проценты</a:t>
                </a:r>
              </a:p>
            </c:rich>
          </c:tx>
          <c:layout>
            <c:manualLayout>
              <c:xMode val="edge"/>
              <c:yMode val="edge"/>
              <c:x val="0.1752923214461187"/>
              <c:y val="0.17918582886302559"/>
            </c:manualLayout>
          </c:layout>
          <c:overlay val="0"/>
        </c:title>
        <c:numFmt formatCode="General" sourceLinked="1"/>
        <c:majorTickMark val="out"/>
        <c:minorTickMark val="none"/>
        <c:tickLblPos val="nextTo"/>
        <c:crossAx val="106463616"/>
        <c:crosses val="autoZero"/>
        <c:auto val="0"/>
        <c:lblAlgn val="ctr"/>
        <c:lblOffset val="100"/>
        <c:noMultiLvlLbl val="0"/>
      </c:catAx>
      <c:valAx>
        <c:axId val="106463616"/>
        <c:scaling>
          <c:orientation val="minMax"/>
          <c:min val="98"/>
        </c:scaling>
        <c:delete val="0"/>
        <c:axPos val="r"/>
        <c:title>
          <c:tx>
            <c:rich>
              <a:bodyPr rot="0" vert="wordArtVert"/>
              <a:lstStyle/>
              <a:p>
                <a:pPr>
                  <a:defRPr b="0">
                    <a:latin typeface="Times New Roman" pitchFamily="18" charset="0"/>
                    <a:cs typeface="Times New Roman" pitchFamily="18" charset="0"/>
                  </a:defRPr>
                </a:pPr>
                <a:r>
                  <a:rPr lang="ru-RU"/>
                  <a:t>проценты</a:t>
                </a:r>
              </a:p>
            </c:rich>
          </c:tx>
          <c:layout>
            <c:manualLayout>
              <c:xMode val="edge"/>
              <c:yMode val="edge"/>
              <c:x val="0.96606690468039325"/>
              <c:y val="2.3315033827942817E-2"/>
            </c:manualLayout>
          </c:layout>
          <c:overlay val="0"/>
        </c:title>
        <c:numFmt formatCode="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06449152"/>
        <c:crosses val="max"/>
        <c:crossBetween val="between"/>
        <c:majorUnit val="4"/>
      </c:valAx>
      <c:dTable>
        <c:showHorzBorder val="1"/>
        <c:showVertBorder val="1"/>
        <c:showOutline val="1"/>
        <c:showKeys val="1"/>
        <c:spPr>
          <a:ln w="19050" cmpd="sng">
            <a:solidFill>
              <a:sysClr val="windowText" lastClr="000000"/>
            </a:solidFill>
          </a:ln>
        </c:spPr>
        <c:txPr>
          <a:bodyPr/>
          <a:lstStyle/>
          <a:p>
            <a:pPr rtl="0">
              <a:defRPr sz="771" b="1">
                <a:latin typeface="Times New Roman" pitchFamily="18" charset="0"/>
                <a:cs typeface="Times New Roman" pitchFamily="18" charset="0"/>
              </a:defRPr>
            </a:pPr>
            <a:endParaRPr lang="ru-RU"/>
          </a:p>
        </c:txPr>
      </c:dTable>
      <c:spPr>
        <a:gradFill flip="none" rotWithShape="1">
          <a:gsLst>
            <a:gs pos="0">
              <a:sysClr val="window" lastClr="FFFFFF">
                <a:lumMod val="95000"/>
              </a:sysClr>
            </a:gs>
            <a:gs pos="100000">
              <a:schemeClr val="accent1">
                <a:lumMod val="20000"/>
                <a:lumOff val="80000"/>
              </a:schemeClr>
            </a:gs>
          </a:gsLst>
          <a:lin ang="5400000" scaled="1"/>
          <a:tileRect/>
        </a:gradFill>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40683188937666"/>
          <c:y val="2.1095163104611923E-2"/>
          <c:w val="0.47835582499090268"/>
          <c:h val="0.72829816577249351"/>
        </c:manualLayout>
      </c:layout>
      <c:barChart>
        <c:barDir val="col"/>
        <c:grouping val="clustered"/>
        <c:varyColors val="0"/>
        <c:ser>
          <c:idx val="0"/>
          <c:order val="0"/>
          <c:tx>
            <c:strRef>
              <c:f>Sheet1!$A$2</c:f>
              <c:strCache>
                <c:ptCount val="1"/>
                <c:pt idx="0">
                  <c:v>ВРП</c:v>
                </c:pt>
              </c:strCache>
            </c:strRef>
          </c:tx>
          <c:spPr>
            <a:solidFill>
              <a:srgbClr val="C0504D">
                <a:lumMod val="75000"/>
              </a:srgbClr>
            </a:solidFill>
          </c:spPr>
          <c:invertIfNegative val="0"/>
          <c:dLbls>
            <c:delete val="1"/>
          </c:dLbls>
          <c:cat>
            <c:strRef>
              <c:f>Sheet1!$B$1:$F$1</c:f>
              <c:strCache>
                <c:ptCount val="5"/>
                <c:pt idx="0">
                  <c:v>2016</c:v>
                </c:pt>
                <c:pt idx="1">
                  <c:v>2017 (оценка)</c:v>
                </c:pt>
                <c:pt idx="2">
                  <c:v>2018 (прогноз)</c:v>
                </c:pt>
                <c:pt idx="3">
                  <c:v>2019 (прогноз)</c:v>
                </c:pt>
                <c:pt idx="4">
                  <c:v>2020 (прогноз)</c:v>
                </c:pt>
              </c:strCache>
            </c:strRef>
          </c:cat>
          <c:val>
            <c:numRef>
              <c:f>Sheet1!$B$2:$F$2</c:f>
              <c:numCache>
                <c:formatCode>0.00</c:formatCode>
                <c:ptCount val="5"/>
                <c:pt idx="0">
                  <c:v>286.94056</c:v>
                </c:pt>
                <c:pt idx="1">
                  <c:v>313.29678000000001</c:v>
                </c:pt>
                <c:pt idx="2">
                  <c:v>346.8109</c:v>
                </c:pt>
                <c:pt idx="3">
                  <c:v>363.57096999999999</c:v>
                </c:pt>
                <c:pt idx="4">
                  <c:v>379.13049999999998</c:v>
                </c:pt>
              </c:numCache>
            </c:numRef>
          </c:val>
        </c:ser>
        <c:dLbls>
          <c:showLegendKey val="0"/>
          <c:showVal val="1"/>
          <c:showCatName val="0"/>
          <c:showSerName val="0"/>
          <c:showPercent val="0"/>
          <c:showBubbleSize val="0"/>
        </c:dLbls>
        <c:gapWidth val="46"/>
        <c:axId val="106174336"/>
        <c:axId val="106184704"/>
      </c:barChart>
      <c:lineChart>
        <c:grouping val="standard"/>
        <c:varyColors val="0"/>
        <c:ser>
          <c:idx val="1"/>
          <c:order val="1"/>
          <c:tx>
            <c:strRef>
              <c:f>Sheet1!$A$3</c:f>
              <c:strCache>
                <c:ptCount val="1"/>
                <c:pt idx="0">
                  <c:v>Темп роста ВРП (Индекс физического объема) </c:v>
                </c:pt>
              </c:strCache>
            </c:strRef>
          </c:tx>
          <c:spPr>
            <a:ln>
              <a:solidFill>
                <a:srgbClr val="92D050"/>
              </a:solidFill>
            </a:ln>
          </c:spPr>
          <c:marker>
            <c:spPr>
              <a:solidFill>
                <a:srgbClr val="92D050"/>
              </a:solidFill>
              <a:ln>
                <a:solidFill>
                  <a:srgbClr val="92D050"/>
                </a:solidFill>
              </a:ln>
            </c:spPr>
          </c:marker>
          <c:dLbls>
            <c:delete val="1"/>
          </c:dLbls>
          <c:cat>
            <c:strRef>
              <c:f>Sheet1!$B$1:$F$1</c:f>
              <c:strCache>
                <c:ptCount val="5"/>
                <c:pt idx="0">
                  <c:v>2016</c:v>
                </c:pt>
                <c:pt idx="1">
                  <c:v>2017 (оценка)</c:v>
                </c:pt>
                <c:pt idx="2">
                  <c:v>2018 (прогноз)</c:v>
                </c:pt>
                <c:pt idx="3">
                  <c:v>2019 (прогноз)</c:v>
                </c:pt>
                <c:pt idx="4">
                  <c:v>2020 (прогноз)</c:v>
                </c:pt>
              </c:strCache>
            </c:strRef>
          </c:cat>
          <c:val>
            <c:numRef>
              <c:f>Sheet1!$B$3:$F$3</c:f>
              <c:numCache>
                <c:formatCode>0.00</c:formatCode>
                <c:ptCount val="5"/>
                <c:pt idx="0">
                  <c:v>100.03</c:v>
                </c:pt>
                <c:pt idx="1">
                  <c:v>103.62</c:v>
                </c:pt>
                <c:pt idx="2">
                  <c:v>107.06</c:v>
                </c:pt>
                <c:pt idx="3">
                  <c:v>100.8</c:v>
                </c:pt>
                <c:pt idx="4">
                  <c:v>100.08</c:v>
                </c:pt>
              </c:numCache>
            </c:numRef>
          </c:val>
          <c:smooth val="0"/>
        </c:ser>
        <c:ser>
          <c:idx val="4"/>
          <c:order val="2"/>
          <c:tx>
            <c:strRef>
              <c:f>Sheet1!$A$4</c:f>
              <c:strCache>
                <c:ptCount val="1"/>
                <c:pt idx="0">
                  <c:v>Индекс-дефлятор ВРП</c:v>
                </c:pt>
              </c:strCache>
            </c:strRef>
          </c:tx>
          <c:spPr>
            <a:ln>
              <a:solidFill>
                <a:schemeClr val="accent6">
                  <a:lumMod val="75000"/>
                </a:schemeClr>
              </a:solidFill>
            </a:ln>
          </c:spPr>
          <c:marker>
            <c:spPr>
              <a:ln w="18360">
                <a:solidFill>
                  <a:srgbClr val="F79646">
                    <a:lumMod val="75000"/>
                  </a:srgbClr>
                </a:solidFill>
              </a:ln>
            </c:spPr>
          </c:marker>
          <c:dLbls>
            <c:delete val="1"/>
          </c:dLbls>
          <c:cat>
            <c:strRef>
              <c:f>Sheet1!$B$1:$F$1</c:f>
              <c:strCache>
                <c:ptCount val="5"/>
                <c:pt idx="0">
                  <c:v>2016</c:v>
                </c:pt>
                <c:pt idx="1">
                  <c:v>2017 (оценка)</c:v>
                </c:pt>
                <c:pt idx="2">
                  <c:v>2018 (прогноз)</c:v>
                </c:pt>
                <c:pt idx="3">
                  <c:v>2019 (прогноз)</c:v>
                </c:pt>
                <c:pt idx="4">
                  <c:v>2020 (прогноз)</c:v>
                </c:pt>
              </c:strCache>
            </c:strRef>
          </c:cat>
          <c:val>
            <c:numRef>
              <c:f>Sheet1!$B$4:$F$4</c:f>
              <c:numCache>
                <c:formatCode>0.00</c:formatCode>
                <c:ptCount val="5"/>
                <c:pt idx="0">
                  <c:v>103.6</c:v>
                </c:pt>
                <c:pt idx="1">
                  <c:v>105</c:v>
                </c:pt>
                <c:pt idx="2">
                  <c:v>103.4</c:v>
                </c:pt>
                <c:pt idx="3">
                  <c:v>104</c:v>
                </c:pt>
                <c:pt idx="4">
                  <c:v>104.2</c:v>
                </c:pt>
              </c:numCache>
            </c:numRef>
          </c:val>
          <c:smooth val="0"/>
        </c:ser>
        <c:dLbls>
          <c:showLegendKey val="0"/>
          <c:showVal val="1"/>
          <c:showCatName val="0"/>
          <c:showSerName val="0"/>
          <c:showPercent val="0"/>
          <c:showBubbleSize val="0"/>
        </c:dLbls>
        <c:marker val="1"/>
        <c:smooth val="0"/>
        <c:axId val="106186240"/>
        <c:axId val="106188160"/>
      </c:lineChart>
      <c:catAx>
        <c:axId val="106174336"/>
        <c:scaling>
          <c:orientation val="minMax"/>
        </c:scaling>
        <c:delete val="0"/>
        <c:axPos val="b"/>
        <c:numFmt formatCode="General" sourceLinked="1"/>
        <c:majorTickMark val="cross"/>
        <c:minorTickMark val="none"/>
        <c:tickLblPos val="nextTo"/>
        <c:txPr>
          <a:bodyPr rot="0" vert="horz"/>
          <a:lstStyle/>
          <a:p>
            <a:pPr>
              <a:defRPr/>
            </a:pPr>
            <a:endParaRPr lang="ru-RU"/>
          </a:p>
        </c:txPr>
        <c:crossAx val="106184704"/>
        <c:crossesAt val="20"/>
        <c:auto val="0"/>
        <c:lblAlgn val="ctr"/>
        <c:lblOffset val="100"/>
        <c:tickMarkSkip val="1"/>
        <c:noMultiLvlLbl val="0"/>
      </c:catAx>
      <c:valAx>
        <c:axId val="106184704"/>
        <c:scaling>
          <c:orientation val="minMax"/>
          <c:max val="500"/>
          <c:min val="220"/>
        </c:scaling>
        <c:delete val="0"/>
        <c:axPos val="l"/>
        <c:numFmt formatCode="0.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06174336"/>
        <c:crosses val="autoZero"/>
        <c:crossBetween val="between"/>
        <c:majorUnit val="40"/>
        <c:minorUnit val="10"/>
      </c:valAx>
      <c:catAx>
        <c:axId val="106186240"/>
        <c:scaling>
          <c:orientation val="minMax"/>
        </c:scaling>
        <c:delete val="1"/>
        <c:axPos val="b"/>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млрд. рублей</a:t>
                </a:r>
              </a:p>
            </c:rich>
          </c:tx>
          <c:layout>
            <c:manualLayout>
              <c:xMode val="edge"/>
              <c:yMode val="edge"/>
              <c:x val="0.12376112380375413"/>
              <c:y val="0.35794144878612338"/>
            </c:manualLayout>
          </c:layout>
          <c:overlay val="0"/>
        </c:title>
        <c:majorTickMark val="out"/>
        <c:minorTickMark val="none"/>
        <c:tickLblPos val="nextTo"/>
        <c:crossAx val="106188160"/>
        <c:crosses val="autoZero"/>
        <c:auto val="0"/>
        <c:lblAlgn val="ctr"/>
        <c:lblOffset val="100"/>
        <c:noMultiLvlLbl val="0"/>
      </c:catAx>
      <c:valAx>
        <c:axId val="106188160"/>
        <c:scaling>
          <c:orientation val="minMax"/>
          <c:max val="110"/>
          <c:min val="80"/>
        </c:scaling>
        <c:delete val="0"/>
        <c:axPos val="r"/>
        <c:title>
          <c:tx>
            <c:rich>
              <a:bodyPr rot="0" vert="wordArtVert"/>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проценты</a:t>
                </a:r>
              </a:p>
            </c:rich>
          </c:tx>
          <c:layout>
            <c:manualLayout>
              <c:xMode val="edge"/>
              <c:yMode val="edge"/>
              <c:x val="0.90317407226751523"/>
              <c:y val="0.10375678610206297"/>
            </c:manualLayout>
          </c:layout>
          <c:overlay val="0"/>
        </c:title>
        <c:numFmt formatCode="0.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06186240"/>
        <c:crosses val="max"/>
        <c:crossBetween val="between"/>
        <c:majorUnit val="5"/>
      </c:valAx>
      <c:dTable>
        <c:showHorzBorder val="1"/>
        <c:showVertBorder val="1"/>
        <c:showOutline val="1"/>
        <c:showKeys val="1"/>
        <c:spPr>
          <a:ln w="19050" cmpd="sng">
            <a:solidFill>
              <a:sysClr val="windowText" lastClr="000000"/>
            </a:solidFill>
          </a:ln>
        </c:spPr>
        <c:txPr>
          <a:bodyPr/>
          <a:lstStyle/>
          <a:p>
            <a:pPr rtl="0">
              <a:defRPr sz="771" b="1">
                <a:latin typeface="Times New Roman" pitchFamily="18" charset="0"/>
                <a:cs typeface="Times New Roman" pitchFamily="18" charset="0"/>
              </a:defRPr>
            </a:pPr>
            <a:endParaRPr lang="ru-RU"/>
          </a:p>
        </c:txPr>
      </c:dTable>
      <c:spPr>
        <a:gradFill flip="none" rotWithShape="1">
          <a:gsLst>
            <a:gs pos="0">
              <a:sysClr val="window" lastClr="FFFFFF">
                <a:lumMod val="95000"/>
              </a:sysClr>
            </a:gs>
            <a:gs pos="100000">
              <a:schemeClr val="accent1">
                <a:lumMod val="20000"/>
                <a:lumOff val="80000"/>
              </a:schemeClr>
            </a:gs>
          </a:gsLst>
          <a:lin ang="5400000" scaled="1"/>
          <a:tileRect/>
        </a:gradFill>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36729268064785E-2"/>
          <c:y val="3.2152855893013373E-2"/>
          <c:w val="0.82790085272324465"/>
          <c:h val="0.72894481939757527"/>
        </c:manualLayout>
      </c:layout>
      <c:barChart>
        <c:barDir val="col"/>
        <c:grouping val="clustered"/>
        <c:varyColors val="0"/>
        <c:ser>
          <c:idx val="0"/>
          <c:order val="0"/>
          <c:tx>
            <c:strRef>
              <c:f>Лист1!$B$1</c:f>
              <c:strCache>
                <c:ptCount val="1"/>
                <c:pt idx="0">
                  <c:v>Прирост инвестиций в основной капитал по России, процентов</c:v>
                </c:pt>
              </c:strCache>
            </c:strRef>
          </c:tx>
          <c:spPr>
            <a:gradFill>
              <a:gsLst>
                <a:gs pos="0">
                  <a:srgbClr val="5E9EFF">
                    <a:lumMod val="36000"/>
                  </a:srgbClr>
                </a:gs>
                <a:gs pos="39999">
                  <a:srgbClr val="85C2FF"/>
                </a:gs>
                <a:gs pos="70000">
                  <a:srgbClr val="C4D6EB"/>
                </a:gs>
                <a:gs pos="100000">
                  <a:srgbClr val="FFEBFA"/>
                </a:gs>
              </a:gsLst>
              <a:lin ang="5400000" scaled="0"/>
            </a:gradFill>
            <a:ln>
              <a:solidFill>
                <a:schemeClr val="accent2">
                  <a:shade val="95000"/>
                  <a:satMod val="105000"/>
                </a:schemeClr>
              </a:solidFill>
            </a:ln>
            <a:scene3d>
              <a:camera prst="orthographicFront"/>
              <a:lightRig rig="threePt" dir="t"/>
            </a:scene3d>
            <a:sp3d prstMaterial="flat">
              <a:bevelB prst="angle"/>
            </a:sp3d>
          </c:spPr>
          <c:invertIfNegative val="0"/>
          <c:dLbls>
            <c:dLbl>
              <c:idx val="0"/>
              <c:layout>
                <c:manualLayout>
                  <c:x val="-5.9970014992503746E-3"/>
                  <c:y val="0"/>
                </c:manualLayout>
              </c:layout>
              <c:showLegendKey val="0"/>
              <c:showVal val="1"/>
              <c:showCatName val="0"/>
              <c:showSerName val="0"/>
              <c:showPercent val="0"/>
              <c:showBubbleSize val="0"/>
            </c:dLbl>
            <c:dLbl>
              <c:idx val="1"/>
              <c:layout>
                <c:manualLayout>
                  <c:x val="-1.9997502674075503E-3"/>
                  <c:y val="1.4652014652014652E-2"/>
                </c:manualLayout>
              </c:layout>
              <c:showLegendKey val="0"/>
              <c:showVal val="1"/>
              <c:showCatName val="0"/>
              <c:showSerName val="0"/>
              <c:showPercent val="0"/>
              <c:showBubbleSize val="0"/>
            </c:dLbl>
            <c:dLbl>
              <c:idx val="3"/>
              <c:layout>
                <c:manualLayout>
                  <c:x val="-3.9980009995002497E-3"/>
                  <c:y val="0"/>
                </c:manualLayout>
              </c:layout>
              <c:showLegendKey val="0"/>
              <c:showVal val="1"/>
              <c:showCatName val="0"/>
              <c:showSerName val="0"/>
              <c:showPercent val="0"/>
              <c:showBubbleSize val="0"/>
            </c:dLbl>
            <c:numFmt formatCode="#,##0.00" sourceLinked="0"/>
            <c:spPr>
              <a:solidFill>
                <a:schemeClr val="accent1">
                  <a:lumMod val="20000"/>
                  <a:lumOff val="80000"/>
                </a:schemeClr>
              </a:solidFill>
              <a:ln>
                <a:solidFill>
                  <a:schemeClr val="tx2"/>
                </a:solidFill>
              </a:ln>
            </c:spPr>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2017 (оценка)</c:v>
                </c:pt>
                <c:pt idx="1">
                  <c:v>2018 (прогноз)</c:v>
                </c:pt>
                <c:pt idx="2">
                  <c:v>2019 (прогноз)</c:v>
                </c:pt>
                <c:pt idx="3">
                  <c:v>2020 (прогноз)</c:v>
                </c:pt>
              </c:strCache>
            </c:strRef>
          </c:cat>
          <c:val>
            <c:numRef>
              <c:f>Лист1!$B$2:$B$5</c:f>
              <c:numCache>
                <c:formatCode>General</c:formatCode>
                <c:ptCount val="4"/>
                <c:pt idx="0">
                  <c:v>4.0999999999999996</c:v>
                </c:pt>
                <c:pt idx="1">
                  <c:v>4.7</c:v>
                </c:pt>
                <c:pt idx="2">
                  <c:v>5.6</c:v>
                </c:pt>
                <c:pt idx="3">
                  <c:v>5.7</c:v>
                </c:pt>
              </c:numCache>
            </c:numRef>
          </c:val>
        </c:ser>
        <c:ser>
          <c:idx val="1"/>
          <c:order val="1"/>
          <c:tx>
            <c:strRef>
              <c:f>Лист1!$C$1</c:f>
              <c:strCache>
                <c:ptCount val="1"/>
                <c:pt idx="0">
                  <c:v>Прирост инвестиций в основной капитал по Амурской области, процентов</c:v>
                </c:pt>
              </c:strCache>
            </c:strRef>
          </c:tx>
          <c:spPr>
            <a:gradFill>
              <a:gsLst>
                <a:gs pos="0">
                  <a:srgbClr val="000082"/>
                </a:gs>
                <a:gs pos="30000">
                  <a:srgbClr val="66008F"/>
                </a:gs>
                <a:gs pos="64999">
                  <a:srgbClr val="BA0066"/>
                </a:gs>
                <a:gs pos="89999">
                  <a:srgbClr val="FF0000"/>
                </a:gs>
                <a:gs pos="100000">
                  <a:srgbClr val="FF8200"/>
                </a:gs>
              </a:gsLst>
              <a:lin ang="5400000" scaled="0"/>
            </a:gradFill>
            <a:ln>
              <a:solidFill>
                <a:schemeClr val="accent2">
                  <a:shade val="95000"/>
                  <a:satMod val="105000"/>
                </a:schemeClr>
              </a:solidFill>
            </a:ln>
          </c:spPr>
          <c:invertIfNegative val="0"/>
          <c:dLbls>
            <c:dLbl>
              <c:idx val="0"/>
              <c:layout>
                <c:manualLayout>
                  <c:x val="3.9995005348151006E-3"/>
                  <c:y val="1.0840183438608635E-2"/>
                </c:manualLayout>
              </c:layout>
              <c:showLegendKey val="0"/>
              <c:showVal val="1"/>
              <c:showCatName val="0"/>
              <c:showSerName val="0"/>
              <c:showPercent val="0"/>
              <c:showBubbleSize val="0"/>
            </c:dLbl>
            <c:dLbl>
              <c:idx val="1"/>
              <c:layout>
                <c:manualLayout>
                  <c:x val="1.2471670860631105E-2"/>
                  <c:y val="0"/>
                </c:manualLayout>
              </c:layout>
              <c:showLegendKey val="0"/>
              <c:showVal val="1"/>
              <c:showCatName val="0"/>
              <c:showSerName val="0"/>
              <c:showPercent val="0"/>
              <c:showBubbleSize val="0"/>
            </c:dLbl>
            <c:dLbl>
              <c:idx val="2"/>
              <c:layout>
                <c:manualLayout>
                  <c:x val="1.1104526476919022E-2"/>
                  <c:y val="3.9683501100823936E-3"/>
                </c:manualLayout>
              </c:layout>
              <c:showLegendKey val="0"/>
              <c:showVal val="1"/>
              <c:showCatName val="0"/>
              <c:showSerName val="0"/>
              <c:showPercent val="0"/>
              <c:showBubbleSize val="0"/>
            </c:dLbl>
            <c:dLbl>
              <c:idx val="3"/>
              <c:layout>
                <c:manualLayout>
                  <c:x val="9.4248072642266877E-3"/>
                  <c:y val="3.9679655427686924E-3"/>
                </c:manualLayout>
              </c:layout>
              <c:showLegendKey val="0"/>
              <c:showVal val="1"/>
              <c:showCatName val="0"/>
              <c:showSerName val="0"/>
              <c:showPercent val="0"/>
              <c:showBubbleSize val="0"/>
            </c:dLbl>
            <c:dLbl>
              <c:idx val="4"/>
              <c:layout>
                <c:manualLayout>
                  <c:x val="1.2944983818770227E-2"/>
                  <c:y val="0"/>
                </c:manualLayout>
              </c:layout>
              <c:showLegendKey val="0"/>
              <c:showVal val="1"/>
              <c:showCatName val="0"/>
              <c:showSerName val="0"/>
              <c:showPercent val="0"/>
              <c:showBubbleSize val="0"/>
            </c:dLbl>
            <c:numFmt formatCode="#,##0.00" sourceLinked="0"/>
            <c:spPr>
              <a:solidFill>
                <a:schemeClr val="accent2">
                  <a:lumMod val="20000"/>
                  <a:lumOff val="80000"/>
                </a:schemeClr>
              </a:solidFill>
              <a:ln>
                <a:solidFill>
                  <a:schemeClr val="accent2">
                    <a:lumMod val="75000"/>
                  </a:schemeClr>
                </a:solidFill>
              </a:ln>
            </c:spPr>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2017 (оценка)</c:v>
                </c:pt>
                <c:pt idx="1">
                  <c:v>2018 (прогноз)</c:v>
                </c:pt>
                <c:pt idx="2">
                  <c:v>2019 (прогноз)</c:v>
                </c:pt>
                <c:pt idx="3">
                  <c:v>2020 (прогноз)</c:v>
                </c:pt>
              </c:strCache>
            </c:strRef>
          </c:cat>
          <c:val>
            <c:numRef>
              <c:f>Лист1!$C$2:$C$5</c:f>
              <c:numCache>
                <c:formatCode>General</c:formatCode>
                <c:ptCount val="4"/>
                <c:pt idx="0">
                  <c:v>16</c:v>
                </c:pt>
                <c:pt idx="1">
                  <c:v>18</c:v>
                </c:pt>
                <c:pt idx="2">
                  <c:v>9.23</c:v>
                </c:pt>
                <c:pt idx="3">
                  <c:v>0</c:v>
                </c:pt>
              </c:numCache>
            </c:numRef>
          </c:val>
        </c:ser>
        <c:dLbls>
          <c:showLegendKey val="0"/>
          <c:showVal val="0"/>
          <c:showCatName val="0"/>
          <c:showSerName val="0"/>
          <c:showPercent val="0"/>
          <c:showBubbleSize val="0"/>
        </c:dLbls>
        <c:gapWidth val="150"/>
        <c:axId val="106247680"/>
        <c:axId val="106249216"/>
      </c:barChart>
      <c:lineChart>
        <c:grouping val="standard"/>
        <c:varyColors val="0"/>
        <c:ser>
          <c:idx val="2"/>
          <c:order val="2"/>
          <c:tx>
            <c:strRef>
              <c:f>Лист1!$D$1</c:f>
              <c:strCache>
                <c:ptCount val="1"/>
                <c:pt idx="0">
                  <c:v>Ввод в действие основных фондов в ценах соответствующих лет, млн. рублей</c:v>
                </c:pt>
              </c:strCache>
            </c:strRef>
          </c:tx>
          <c:spPr>
            <a:ln w="44450"/>
          </c:spPr>
          <c:dLbls>
            <c:spPr>
              <a:solidFill>
                <a:schemeClr val="bg2"/>
              </a:solidFill>
              <a:ln>
                <a:solidFill>
                  <a:srgbClr val="92D050"/>
                </a:solidFill>
              </a:ln>
            </c:spPr>
            <c:txPr>
              <a:bodyPr/>
              <a:lstStyle/>
              <a:p>
                <a:pPr>
                  <a:defRPr sz="900" b="1"/>
                </a:pPr>
                <a:endParaRPr lang="ru-RU"/>
              </a:p>
            </c:txPr>
            <c:dLblPos val="ctr"/>
            <c:showLegendKey val="0"/>
            <c:showVal val="1"/>
            <c:showCatName val="0"/>
            <c:showSerName val="0"/>
            <c:showPercent val="0"/>
            <c:showBubbleSize val="0"/>
            <c:showLeaderLines val="0"/>
          </c:dLbls>
          <c:cat>
            <c:strRef>
              <c:f>Лист1!$A$2:$A$5</c:f>
              <c:strCache>
                <c:ptCount val="4"/>
                <c:pt idx="0">
                  <c:v>2017 (оценка)</c:v>
                </c:pt>
                <c:pt idx="1">
                  <c:v>2018 (прогноз)</c:v>
                </c:pt>
                <c:pt idx="2">
                  <c:v>2019 (прогноз)</c:v>
                </c:pt>
                <c:pt idx="3">
                  <c:v>2020 (прогноз)</c:v>
                </c:pt>
              </c:strCache>
            </c:strRef>
          </c:cat>
          <c:val>
            <c:numRef>
              <c:f>Лист1!$D$2:$D$5</c:f>
              <c:numCache>
                <c:formatCode>0.00</c:formatCode>
                <c:ptCount val="4"/>
                <c:pt idx="0">
                  <c:v>20710</c:v>
                </c:pt>
                <c:pt idx="1">
                  <c:v>6797</c:v>
                </c:pt>
                <c:pt idx="2">
                  <c:v>30400</c:v>
                </c:pt>
                <c:pt idx="3">
                  <c:v>150000</c:v>
                </c:pt>
              </c:numCache>
            </c:numRef>
          </c:val>
          <c:smooth val="0"/>
        </c:ser>
        <c:dLbls>
          <c:showLegendKey val="0"/>
          <c:showVal val="0"/>
          <c:showCatName val="0"/>
          <c:showSerName val="0"/>
          <c:showPercent val="0"/>
          <c:showBubbleSize val="0"/>
        </c:dLbls>
        <c:marker val="1"/>
        <c:smooth val="0"/>
        <c:axId val="106273792"/>
        <c:axId val="106271872"/>
      </c:lineChart>
      <c:catAx>
        <c:axId val="106247680"/>
        <c:scaling>
          <c:orientation val="minMax"/>
        </c:scaling>
        <c:delete val="0"/>
        <c:axPos val="b"/>
        <c:majorTickMark val="out"/>
        <c:minorTickMark val="none"/>
        <c:tickLblPos val="low"/>
        <c:txPr>
          <a:bodyPr/>
          <a:lstStyle/>
          <a:p>
            <a:pPr>
              <a:defRPr b="1"/>
            </a:pPr>
            <a:endParaRPr lang="ru-RU"/>
          </a:p>
        </c:txPr>
        <c:crossAx val="106249216"/>
        <c:crosses val="autoZero"/>
        <c:auto val="1"/>
        <c:lblAlgn val="ctr"/>
        <c:lblOffset val="100"/>
        <c:noMultiLvlLbl val="0"/>
      </c:catAx>
      <c:valAx>
        <c:axId val="106249216"/>
        <c:scaling>
          <c:orientation val="minMax"/>
          <c:min val="0"/>
        </c:scaling>
        <c:delete val="0"/>
        <c:axPos val="l"/>
        <c:majorGridlines/>
        <c:title>
          <c:tx>
            <c:rich>
              <a:bodyPr rot="-5400000" vert="horz"/>
              <a:lstStyle/>
              <a:p>
                <a:pPr>
                  <a:defRPr b="1"/>
                </a:pPr>
                <a:r>
                  <a:rPr lang="ru-RU" b="1"/>
                  <a:t>процентов</a:t>
                </a:r>
              </a:p>
            </c:rich>
          </c:tx>
          <c:layout/>
          <c:overlay val="0"/>
        </c:title>
        <c:numFmt formatCode="General" sourceLinked="1"/>
        <c:majorTickMark val="out"/>
        <c:minorTickMark val="none"/>
        <c:tickLblPos val="nextTo"/>
        <c:txPr>
          <a:bodyPr/>
          <a:lstStyle/>
          <a:p>
            <a:pPr>
              <a:defRPr b="1"/>
            </a:pPr>
            <a:endParaRPr lang="ru-RU"/>
          </a:p>
        </c:txPr>
        <c:crossAx val="106247680"/>
        <c:crosses val="autoZero"/>
        <c:crossBetween val="between"/>
        <c:majorUnit val="10"/>
      </c:valAx>
      <c:valAx>
        <c:axId val="106271872"/>
        <c:scaling>
          <c:orientation val="minMax"/>
          <c:max val="150000"/>
        </c:scaling>
        <c:delete val="0"/>
        <c:axPos val="r"/>
        <c:title>
          <c:tx>
            <c:rich>
              <a:bodyPr rot="-5400000" vert="horz"/>
              <a:lstStyle/>
              <a:p>
                <a:pPr>
                  <a:defRPr b="1"/>
                </a:pPr>
                <a:r>
                  <a:rPr lang="ru-RU" b="1"/>
                  <a:t>млн. рублей</a:t>
                </a:r>
              </a:p>
            </c:rich>
          </c:tx>
          <c:layout/>
          <c:overlay val="0"/>
        </c:title>
        <c:numFmt formatCode="0.00" sourceLinked="1"/>
        <c:majorTickMark val="out"/>
        <c:minorTickMark val="none"/>
        <c:tickLblPos val="nextTo"/>
        <c:txPr>
          <a:bodyPr/>
          <a:lstStyle/>
          <a:p>
            <a:pPr>
              <a:defRPr b="1"/>
            </a:pPr>
            <a:endParaRPr lang="ru-RU"/>
          </a:p>
        </c:txPr>
        <c:crossAx val="106273792"/>
        <c:crosses val="max"/>
        <c:crossBetween val="between"/>
        <c:majorUnit val="50000"/>
      </c:valAx>
      <c:catAx>
        <c:axId val="106273792"/>
        <c:scaling>
          <c:orientation val="minMax"/>
        </c:scaling>
        <c:delete val="1"/>
        <c:axPos val="b"/>
        <c:majorTickMark val="out"/>
        <c:minorTickMark val="none"/>
        <c:tickLblPos val="nextTo"/>
        <c:crossAx val="106271872"/>
        <c:crosses val="autoZero"/>
        <c:auto val="1"/>
        <c:lblAlgn val="ctr"/>
        <c:lblOffset val="100"/>
        <c:noMultiLvlLbl val="0"/>
      </c:catAx>
      <c:spPr>
        <a:noFill/>
      </c:spPr>
    </c:plotArea>
    <c:legend>
      <c:legendPos val="b"/>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Экспорт </c:v>
                </c:pt>
              </c:strCache>
            </c:strRef>
          </c:tx>
          <c:spPr>
            <a:ln w="63500">
              <a:solidFill>
                <a:srgbClr val="00B050"/>
              </a:solidFill>
            </a:ln>
          </c:spPr>
          <c:marker>
            <c:spPr>
              <a:solidFill>
                <a:srgbClr val="00B050"/>
              </a:solidFill>
              <a:ln w="12700">
                <a:solidFill>
                  <a:sysClr val="windowText" lastClr="000000"/>
                </a:solidFill>
              </a:ln>
            </c:spPr>
          </c:marker>
          <c:cat>
            <c:strRef>
              <c:f>Лист1!$A$2:$A$6</c:f>
              <c:strCache>
                <c:ptCount val="5"/>
                <c:pt idx="0">
                  <c:v>2016</c:v>
                </c:pt>
                <c:pt idx="1">
                  <c:v>2017 (оценка)</c:v>
                </c:pt>
                <c:pt idx="2">
                  <c:v>2018 (прогноз)</c:v>
                </c:pt>
                <c:pt idx="3">
                  <c:v>2019 (прогноз)</c:v>
                </c:pt>
                <c:pt idx="4">
                  <c:v>2020 (прогноз)</c:v>
                </c:pt>
              </c:strCache>
            </c:strRef>
          </c:cat>
          <c:val>
            <c:numRef>
              <c:f>Лист1!$B$2:$B$6</c:f>
              <c:numCache>
                <c:formatCode>0.00</c:formatCode>
                <c:ptCount val="5"/>
                <c:pt idx="0">
                  <c:v>340.2</c:v>
                </c:pt>
                <c:pt idx="1">
                  <c:v>312.60000000000002</c:v>
                </c:pt>
                <c:pt idx="2">
                  <c:v>317.38</c:v>
                </c:pt>
                <c:pt idx="3">
                  <c:v>326.93</c:v>
                </c:pt>
                <c:pt idx="4">
                  <c:v>352.53</c:v>
                </c:pt>
              </c:numCache>
            </c:numRef>
          </c:val>
          <c:smooth val="0"/>
        </c:ser>
        <c:ser>
          <c:idx val="1"/>
          <c:order val="1"/>
          <c:tx>
            <c:strRef>
              <c:f>Лист1!$C$1</c:f>
              <c:strCache>
                <c:ptCount val="1"/>
                <c:pt idx="0">
                  <c:v>Импорт </c:v>
                </c:pt>
              </c:strCache>
            </c:strRef>
          </c:tx>
          <c:spPr>
            <a:ln w="41275">
              <a:solidFill>
                <a:srgbClr val="C00000"/>
              </a:solidFill>
            </a:ln>
          </c:spPr>
          <c:marker>
            <c:spPr>
              <a:ln w="12700">
                <a:solidFill>
                  <a:sysClr val="windowText" lastClr="000000"/>
                </a:solidFill>
              </a:ln>
            </c:spPr>
          </c:marker>
          <c:cat>
            <c:strRef>
              <c:f>Лист1!$A$2:$A$6</c:f>
              <c:strCache>
                <c:ptCount val="5"/>
                <c:pt idx="0">
                  <c:v>2016</c:v>
                </c:pt>
                <c:pt idx="1">
                  <c:v>2017 (оценка)</c:v>
                </c:pt>
                <c:pt idx="2">
                  <c:v>2018 (прогноз)</c:v>
                </c:pt>
                <c:pt idx="3">
                  <c:v>2019 (прогноз)</c:v>
                </c:pt>
                <c:pt idx="4">
                  <c:v>2020 (прогноз)</c:v>
                </c:pt>
              </c:strCache>
            </c:strRef>
          </c:cat>
          <c:val>
            <c:numRef>
              <c:f>Лист1!$C$2:$C$6</c:f>
              <c:numCache>
                <c:formatCode>0.00</c:formatCode>
                <c:ptCount val="5"/>
                <c:pt idx="0">
                  <c:v>165.3</c:v>
                </c:pt>
                <c:pt idx="1">
                  <c:v>116.7</c:v>
                </c:pt>
                <c:pt idx="2">
                  <c:v>118.49</c:v>
                </c:pt>
                <c:pt idx="3">
                  <c:v>121.96</c:v>
                </c:pt>
                <c:pt idx="4">
                  <c:v>130.99</c:v>
                </c:pt>
              </c:numCache>
            </c:numRef>
          </c:val>
          <c:smooth val="0"/>
        </c:ser>
        <c:dLbls>
          <c:showLegendKey val="0"/>
          <c:showVal val="0"/>
          <c:showCatName val="0"/>
          <c:showSerName val="0"/>
          <c:showPercent val="0"/>
          <c:showBubbleSize val="0"/>
        </c:dLbls>
        <c:marker val="1"/>
        <c:smooth val="0"/>
        <c:axId val="106330752"/>
        <c:axId val="106341120"/>
      </c:lineChart>
      <c:catAx>
        <c:axId val="106330752"/>
        <c:scaling>
          <c:orientation val="minMax"/>
        </c:scaling>
        <c:delete val="0"/>
        <c:axPos val="b"/>
        <c:majorTickMark val="out"/>
        <c:minorTickMark val="none"/>
        <c:tickLblPos val="nextTo"/>
        <c:crossAx val="106341120"/>
        <c:crosses val="autoZero"/>
        <c:auto val="1"/>
        <c:lblAlgn val="ctr"/>
        <c:lblOffset val="100"/>
        <c:noMultiLvlLbl val="0"/>
      </c:catAx>
      <c:valAx>
        <c:axId val="106341120"/>
        <c:scaling>
          <c:orientation val="minMax"/>
          <c:max val="360"/>
          <c:min val="100"/>
        </c:scaling>
        <c:delete val="0"/>
        <c:axPos val="l"/>
        <c:majorGridlines>
          <c:spPr>
            <a:ln>
              <a:solidFill>
                <a:schemeClr val="bg2">
                  <a:lumMod val="90000"/>
                </a:schemeClr>
              </a:solidFill>
            </a:ln>
          </c:spPr>
        </c:majorGridlines>
        <c:title>
          <c:tx>
            <c:rich>
              <a:bodyPr rot="-5400000" vert="horz"/>
              <a:lstStyle/>
              <a:p>
                <a:pPr>
                  <a:defRPr b="1"/>
                </a:pPr>
                <a:r>
                  <a:rPr lang="ru-RU" b="1"/>
                  <a:t>млн. долларов США</a:t>
                </a:r>
              </a:p>
            </c:rich>
          </c:tx>
          <c:layout>
            <c:manualLayout>
              <c:xMode val="edge"/>
              <c:yMode val="edge"/>
              <c:x val="0.18622747985885652"/>
              <c:y val="0.14521907389313563"/>
            </c:manualLayout>
          </c:layout>
          <c:overlay val="0"/>
        </c:title>
        <c:numFmt formatCode="0.00" sourceLinked="1"/>
        <c:majorTickMark val="out"/>
        <c:minorTickMark val="none"/>
        <c:tickLblPos val="nextTo"/>
        <c:txPr>
          <a:bodyPr/>
          <a:lstStyle/>
          <a:p>
            <a:pPr>
              <a:defRPr b="1"/>
            </a:pPr>
            <a:endParaRPr lang="ru-RU"/>
          </a:p>
        </c:txPr>
        <c:crossAx val="106330752"/>
        <c:crosses val="autoZero"/>
        <c:crossBetween val="between"/>
        <c:majorUnit val="100"/>
      </c:valAx>
      <c:dTable>
        <c:showHorzBorder val="1"/>
        <c:showVertBorder val="1"/>
        <c:showOutline val="1"/>
        <c:showKeys val="1"/>
        <c:txPr>
          <a:bodyPr/>
          <a:lstStyle/>
          <a:p>
            <a:pPr rtl="0">
              <a:defRPr b="1"/>
            </a:pPr>
            <a:endParaRPr lang="ru-RU"/>
          </a:p>
        </c:txPr>
      </c:dTable>
      <c:spPr>
        <a:gradFill>
          <a:gsLst>
            <a:gs pos="0">
              <a:srgbClr val="8488C4">
                <a:lumMod val="0"/>
                <a:lumOff val="100000"/>
              </a:srgbClr>
            </a:gs>
            <a:gs pos="53000">
              <a:srgbClr val="D4DEFF">
                <a:lumMod val="33000"/>
                <a:lumOff val="67000"/>
              </a:srgbClr>
            </a:gs>
            <a:gs pos="73000">
              <a:srgbClr val="D4DEFF">
                <a:lumMod val="62000"/>
                <a:lumOff val="38000"/>
              </a:srgbClr>
            </a:gs>
            <a:gs pos="100000">
              <a:srgbClr val="96AB94"/>
            </a:gs>
          </a:gsLst>
          <a:lin ang="5400000" scaled="0"/>
        </a:gradFill>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5">
            <a:lumMod val="20000"/>
            <a:lumOff val="80000"/>
          </a:schemeClr>
        </a:solidFill>
      </c:spPr>
    </c:sideWall>
    <c:backWall>
      <c:thickness val="0"/>
      <c:spPr>
        <a:solidFill>
          <a:schemeClr val="accent5">
            <a:lumMod val="20000"/>
            <a:lumOff val="80000"/>
          </a:schemeClr>
        </a:solidFill>
      </c:spPr>
    </c:backWall>
    <c:plotArea>
      <c:layout>
        <c:manualLayout>
          <c:layoutTarget val="inner"/>
          <c:xMode val="edge"/>
          <c:yMode val="edge"/>
          <c:x val="8.3244078311474554E-2"/>
          <c:y val="1.9741462798433619E-2"/>
          <c:w val="0.89986144644092059"/>
          <c:h val="0.72392496809458451"/>
        </c:manualLayout>
      </c:layout>
      <c:bar3DChart>
        <c:barDir val="col"/>
        <c:grouping val="clustered"/>
        <c:varyColors val="0"/>
        <c:ser>
          <c:idx val="0"/>
          <c:order val="0"/>
          <c:tx>
            <c:strRef>
              <c:f>Лист1!$B$1</c:f>
              <c:strCache>
                <c:ptCount val="1"/>
                <c:pt idx="0">
                  <c:v>2016 (испол.)</c:v>
                </c:pt>
              </c:strCache>
            </c:strRef>
          </c:tx>
          <c:spPr>
            <a:solidFill>
              <a:srgbClr val="7030A0"/>
            </a:solidFill>
          </c:spPr>
          <c:invertIfNegative val="0"/>
          <c:dLbls>
            <c:dLbl>
              <c:idx val="0"/>
              <c:layout>
                <c:manualLayout>
                  <c:x val="-6.6666666666666463E-3"/>
                  <c:y val="0.28134556574923553"/>
                </c:manualLayout>
              </c:layout>
              <c:showLegendKey val="0"/>
              <c:showVal val="1"/>
              <c:showCatName val="0"/>
              <c:showSerName val="0"/>
              <c:showPercent val="0"/>
              <c:showBubbleSize val="0"/>
            </c:dLbl>
            <c:dLbl>
              <c:idx val="1"/>
              <c:layout>
                <c:manualLayout>
                  <c:x val="-2.7378927402949824E-2"/>
                  <c:y val="-1.6215332133928454E-3"/>
                </c:manualLayout>
              </c:layout>
              <c:showLegendKey val="0"/>
              <c:showVal val="1"/>
              <c:showCatName val="0"/>
              <c:showSerName val="0"/>
              <c:showPercent val="0"/>
              <c:showBubbleSize val="0"/>
            </c:dLbl>
            <c:dLbl>
              <c:idx val="2"/>
              <c:layout>
                <c:manualLayout>
                  <c:x val="-2.054442732408834E-2"/>
                  <c:y val="4.6667133967304535E-2"/>
                </c:manualLayout>
              </c:layout>
              <c:showLegendKey val="0"/>
              <c:showVal val="1"/>
              <c:showCatName val="0"/>
              <c:showSerName val="0"/>
              <c:showPercent val="0"/>
              <c:showBubbleSize val="0"/>
            </c:dLbl>
            <c:dLbl>
              <c:idx val="3"/>
              <c:layout>
                <c:manualLayout>
                  <c:x val="-2.6204336168302537E-2"/>
                  <c:y val="0.10577225324579234"/>
                </c:manualLayout>
              </c:layout>
              <c:showLegendKey val="0"/>
              <c:showVal val="1"/>
              <c:showCatName val="0"/>
              <c:showSerName val="0"/>
              <c:showPercent val="0"/>
              <c:showBubbleSize val="0"/>
            </c:dLbl>
            <c:dLbl>
              <c:idx val="4"/>
              <c:layout>
                <c:manualLayout>
                  <c:x val="-2.0208922266842917E-2"/>
                  <c:y val="0.13370966611369425"/>
                </c:manualLayout>
              </c:layout>
              <c:showLegendKey val="0"/>
              <c:showVal val="1"/>
              <c:showCatName val="0"/>
              <c:showSerName val="0"/>
              <c:showPercent val="0"/>
              <c:showBubbleSize val="0"/>
            </c:dLbl>
            <c:dLbl>
              <c:idx val="5"/>
              <c:layout>
                <c:manualLayout>
                  <c:x val="-2.4149893435893702E-2"/>
                  <c:y val="9.7980170876266579E-2"/>
                </c:manualLayout>
              </c:layout>
              <c:showLegendKey val="0"/>
              <c:showVal val="1"/>
              <c:showCatName val="0"/>
              <c:showSerName val="0"/>
              <c:showPercent val="0"/>
              <c:showBubbleSize val="0"/>
            </c:dLbl>
            <c:spPr>
              <a:solidFill>
                <a:srgbClr val="9BBB59">
                  <a:lumMod val="40000"/>
                  <a:lumOff val="60000"/>
                </a:srgbClr>
              </a:solidFill>
            </c:spPr>
            <c:txPr>
              <a:bodyPr anchor="b" anchorCtr="1"/>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pt idx="0">
                  <c:v>9970.9</c:v>
                </c:pt>
                <c:pt idx="1">
                  <c:v>10520.2</c:v>
                </c:pt>
                <c:pt idx="2">
                  <c:v>6585.6</c:v>
                </c:pt>
                <c:pt idx="3">
                  <c:v>2738</c:v>
                </c:pt>
                <c:pt idx="4">
                  <c:v>1823.1</c:v>
                </c:pt>
                <c:pt idx="5">
                  <c:v>1438.6</c:v>
                </c:pt>
              </c:numCache>
            </c:numRef>
          </c:val>
        </c:ser>
        <c:ser>
          <c:idx val="1"/>
          <c:order val="1"/>
          <c:tx>
            <c:strRef>
              <c:f>Лист1!$C$1</c:f>
              <c:strCache>
                <c:ptCount val="1"/>
                <c:pt idx="0">
                  <c:v>2017 год (ожид.исп.)</c:v>
                </c:pt>
              </c:strCache>
            </c:strRef>
          </c:tx>
          <c:spPr>
            <a:solidFill>
              <a:srgbClr val="C0504D">
                <a:lumMod val="60000"/>
                <a:lumOff val="40000"/>
              </a:srgbClr>
            </a:solidFill>
          </c:spPr>
          <c:invertIfNegative val="0"/>
          <c:dLbls>
            <c:dLbl>
              <c:idx val="0"/>
              <c:layout>
                <c:manualLayout>
                  <c:x val="-1.8490146358823793E-2"/>
                  <c:y val="-3.165182987141444E-2"/>
                </c:manualLayout>
              </c:layout>
              <c:showLegendKey val="0"/>
              <c:showVal val="1"/>
              <c:showCatName val="0"/>
              <c:showSerName val="0"/>
              <c:showPercent val="0"/>
              <c:showBubbleSize val="0"/>
            </c:dLbl>
            <c:dLbl>
              <c:idx val="1"/>
              <c:layout>
                <c:manualLayout>
                  <c:x val="3.4925526450950178E-2"/>
                  <c:y val="-2.6364478920847062E-2"/>
                </c:manualLayout>
              </c:layout>
              <c:showLegendKey val="0"/>
              <c:showVal val="1"/>
              <c:showCatName val="0"/>
              <c:showSerName val="0"/>
              <c:showPercent val="0"/>
              <c:showBubbleSize val="0"/>
            </c:dLbl>
            <c:dLbl>
              <c:idx val="2"/>
              <c:layout>
                <c:manualLayout>
                  <c:x val="-1.8489984591679508E-2"/>
                  <c:y val="-1.881445828173552E-2"/>
                </c:manualLayout>
              </c:layout>
              <c:showLegendKey val="0"/>
              <c:showVal val="1"/>
              <c:showCatName val="0"/>
              <c:showSerName val="0"/>
              <c:showPercent val="0"/>
              <c:showBubbleSize val="0"/>
            </c:dLbl>
            <c:dLbl>
              <c:idx val="3"/>
              <c:layout>
                <c:manualLayout>
                  <c:x val="-2.4653474556050294E-2"/>
                  <c:y val="-7.1870838103694013E-3"/>
                </c:manualLayout>
              </c:layout>
              <c:showLegendKey val="0"/>
              <c:showVal val="1"/>
              <c:showCatName val="0"/>
              <c:showSerName val="0"/>
              <c:showPercent val="0"/>
              <c:showBubbleSize val="0"/>
            </c:dLbl>
            <c:dLbl>
              <c:idx val="4"/>
              <c:layout>
                <c:manualLayout>
                  <c:x val="-2.0544427324088342E-3"/>
                  <c:y val="-3.871772704969742E-2"/>
                </c:manualLayout>
              </c:layout>
              <c:showLegendKey val="0"/>
              <c:showVal val="1"/>
              <c:showCatName val="0"/>
              <c:showSerName val="0"/>
              <c:showPercent val="0"/>
              <c:showBubbleSize val="0"/>
            </c:dLbl>
            <c:dLbl>
              <c:idx val="5"/>
              <c:layout>
                <c:manualLayout>
                  <c:x val="1.027221366204417E-2"/>
                  <c:y val="-1.5100041278223012E-2"/>
                </c:manualLayout>
              </c:layout>
              <c:showLegendKey val="0"/>
              <c:showVal val="1"/>
              <c:showCatName val="0"/>
              <c:showSerName val="0"/>
              <c:showPercent val="0"/>
              <c:showBubbleSize val="0"/>
            </c:dLbl>
            <c:spPr>
              <a:solidFill>
                <a:srgbClr val="F79646">
                  <a:lumMod val="60000"/>
                  <a:lumOff val="40000"/>
                </a:srgb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pt idx="0">
                  <c:v>9675.4</c:v>
                </c:pt>
                <c:pt idx="1">
                  <c:v>12004.6</c:v>
                </c:pt>
                <c:pt idx="2">
                  <c:v>7638.9</c:v>
                </c:pt>
                <c:pt idx="3">
                  <c:v>1993.9</c:v>
                </c:pt>
                <c:pt idx="4">
                  <c:v>1081.7</c:v>
                </c:pt>
                <c:pt idx="5">
                  <c:v>1668.5</c:v>
                </c:pt>
              </c:numCache>
            </c:numRef>
          </c:val>
        </c:ser>
        <c:ser>
          <c:idx val="2"/>
          <c:order val="2"/>
          <c:tx>
            <c:strRef>
              <c:f>Лист1!$D$1</c:f>
              <c:strCache>
                <c:ptCount val="1"/>
                <c:pt idx="0">
                  <c:v>2018 год (прогноз)</c:v>
                </c:pt>
              </c:strCache>
            </c:strRef>
          </c:tx>
          <c:spPr>
            <a:solidFill>
              <a:srgbClr val="002060"/>
            </a:solidFill>
          </c:spPr>
          <c:invertIfNegative val="0"/>
          <c:dLbls>
            <c:dLbl>
              <c:idx val="0"/>
              <c:layout>
                <c:manualLayout>
                  <c:x val="2.8762198253723677E-2"/>
                  <c:y val="0.11425375982304882"/>
                </c:manualLayout>
              </c:layout>
              <c:showLegendKey val="0"/>
              <c:showVal val="1"/>
              <c:showCatName val="0"/>
              <c:showSerName val="0"/>
              <c:showPercent val="0"/>
              <c:showBubbleSize val="0"/>
            </c:dLbl>
            <c:dLbl>
              <c:idx val="1"/>
              <c:layout>
                <c:manualLayout>
                  <c:x val="6.7796610169491525E-2"/>
                  <c:y val="5.9347181008902079E-2"/>
                </c:manualLayout>
              </c:layout>
              <c:showLegendKey val="0"/>
              <c:showVal val="1"/>
              <c:showCatName val="0"/>
              <c:showSerName val="0"/>
              <c:showPercent val="0"/>
              <c:showBubbleSize val="0"/>
            </c:dLbl>
            <c:dLbl>
              <c:idx val="2"/>
              <c:layout>
                <c:manualLayout>
                  <c:x val="5.7524396507447353E-2"/>
                  <c:y val="3.956478733926805E-3"/>
                </c:manualLayout>
              </c:layout>
              <c:showLegendKey val="0"/>
              <c:showVal val="1"/>
              <c:showCatName val="0"/>
              <c:showSerName val="0"/>
              <c:showPercent val="0"/>
              <c:showBubbleSize val="0"/>
            </c:dLbl>
            <c:dLbl>
              <c:idx val="3"/>
              <c:layout>
                <c:manualLayout>
                  <c:x val="2.6707593754170558E-2"/>
                  <c:y val="-4.0773538322546477E-3"/>
                </c:manualLayout>
              </c:layout>
              <c:showLegendKey val="0"/>
              <c:showVal val="1"/>
              <c:showCatName val="0"/>
              <c:showSerName val="0"/>
              <c:showPercent val="0"/>
              <c:showBubbleSize val="0"/>
            </c:dLbl>
            <c:dLbl>
              <c:idx val="4"/>
              <c:layout>
                <c:manualLayout>
                  <c:x val="3.9034411915767848E-2"/>
                  <c:y val="-4.1985404643410671E-3"/>
                </c:manualLayout>
              </c:layout>
              <c:showLegendKey val="0"/>
              <c:showVal val="1"/>
              <c:showCatName val="0"/>
              <c:showSerName val="0"/>
              <c:showPercent val="0"/>
              <c:showBubbleSize val="0"/>
            </c:dLbl>
            <c:dLbl>
              <c:idx val="5"/>
              <c:layout>
                <c:manualLayout>
                  <c:x val="5.5469953775038522E-2"/>
                  <c:y val="3.7144170035125429E-3"/>
                </c:manualLayout>
              </c:layout>
              <c:showLegendKey val="0"/>
              <c:showVal val="1"/>
              <c:showCatName val="0"/>
              <c:showSerName val="0"/>
              <c:showPercent val="0"/>
              <c:showBubbleSize val="0"/>
            </c:dLbl>
            <c:spPr>
              <a:solidFill>
                <a:srgbClr val="C0504D">
                  <a:lumMod val="40000"/>
                  <a:lumOff val="60000"/>
                </a:srgb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10274.5</c:v>
                </c:pt>
                <c:pt idx="1">
                  <c:v>11846.8</c:v>
                </c:pt>
                <c:pt idx="2">
                  <c:v>8792.5</c:v>
                </c:pt>
                <c:pt idx="3">
                  <c:v>1969.1</c:v>
                </c:pt>
                <c:pt idx="4">
                  <c:v>899.6</c:v>
                </c:pt>
                <c:pt idx="5">
                  <c:v>1634.5</c:v>
                </c:pt>
              </c:numCache>
            </c:numRef>
          </c:val>
        </c:ser>
        <c:ser>
          <c:idx val="3"/>
          <c:order val="3"/>
          <c:tx>
            <c:strRef>
              <c:f>Лист1!$E$1</c:f>
              <c:strCache>
                <c:ptCount val="1"/>
                <c:pt idx="0">
                  <c:v>Столбец1</c:v>
                </c:pt>
              </c:strCache>
            </c:strRef>
          </c:tx>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Ref>
          </c:val>
          <c:shape val="cone"/>
        </c:ser>
        <c:dLbls>
          <c:showLegendKey val="0"/>
          <c:showVal val="1"/>
          <c:showCatName val="0"/>
          <c:showSerName val="0"/>
          <c:showPercent val="0"/>
          <c:showBubbleSize val="0"/>
        </c:dLbls>
        <c:gapWidth val="150"/>
        <c:shape val="box"/>
        <c:axId val="106392192"/>
        <c:axId val="107807104"/>
        <c:axId val="0"/>
      </c:bar3DChart>
      <c:catAx>
        <c:axId val="106392192"/>
        <c:scaling>
          <c:orientation val="minMax"/>
        </c:scaling>
        <c:delete val="0"/>
        <c:axPos val="b"/>
        <c:majorTickMark val="out"/>
        <c:minorTickMark val="none"/>
        <c:tickLblPos val="nextTo"/>
        <c:txPr>
          <a:bodyPr/>
          <a:lstStyle/>
          <a:p>
            <a:pPr>
              <a:defRPr sz="850" b="1">
                <a:latin typeface="Times New Roman" panose="02020603050405020304" pitchFamily="18" charset="0"/>
                <a:cs typeface="Times New Roman" panose="02020603050405020304" pitchFamily="18" charset="0"/>
              </a:defRPr>
            </a:pPr>
            <a:endParaRPr lang="ru-RU"/>
          </a:p>
        </c:txPr>
        <c:crossAx val="107807104"/>
        <c:crosses val="autoZero"/>
        <c:auto val="0"/>
        <c:lblAlgn val="ctr"/>
        <c:lblOffset val="100"/>
        <c:noMultiLvlLbl val="0"/>
      </c:catAx>
      <c:valAx>
        <c:axId val="107807104"/>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06392192"/>
        <c:crosses val="autoZero"/>
        <c:crossBetween val="between"/>
      </c:valAx>
    </c:plotArea>
    <c:legend>
      <c:legendPos val="b"/>
      <c:layout>
        <c:manualLayout>
          <c:xMode val="edge"/>
          <c:yMode val="edge"/>
          <c:x val="0.1631711213294024"/>
          <c:y val="0.93490653117901545"/>
          <c:w val="0.67365775734119526"/>
          <c:h val="6.5093421185853248E-2"/>
        </c:manualLayout>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4761904761904762"/>
          <c:y val="0.30549450549450552"/>
          <c:w val="0.66349206349206347"/>
          <c:h val="0.36483516483516482"/>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5"/>
          <c:dPt>
            <c:idx val="0"/>
            <c:bubble3D val="0"/>
            <c:spPr>
              <a:solidFill>
                <a:srgbClr val="0000FF"/>
              </a:solidFill>
              <a:ln w="15875">
                <a:solidFill>
                  <a:srgbClr val="000000"/>
                </a:solidFill>
                <a:prstDash val="solid"/>
              </a:ln>
            </c:spPr>
          </c:dPt>
          <c:dPt>
            <c:idx val="1"/>
            <c:bubble3D val="0"/>
            <c:spPr>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18900000" scaled="1"/>
                <a:tileRect/>
              </a:gra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gradFill rotWithShape="0">
                <a:gsLst>
                  <a:gs pos="0">
                    <a:srgbClr xmlns:mc="http://schemas.openxmlformats.org/markup-compatibility/2006" xmlns:a14="http://schemas.microsoft.com/office/drawing/2010/main" val="000000" mc:Ignorable="a14" a14:legacySpreadsheetColorIndex="45">
                      <a:gamma/>
                      <a:shade val="46275"/>
                      <a:invGamma/>
                    </a:srgbClr>
                  </a:gs>
                  <a:gs pos="5000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000000" mc:Ignorable="a14" a14:legacySpreadsheetColorIndex="45">
                      <a:gamma/>
                      <a:shade val="46275"/>
                      <a:invGamma/>
                    </a:srgbClr>
                  </a:gs>
                </a:gsLst>
                <a:lin ang="5400000" scaled="1"/>
              </a:gradFill>
              <a:ln w="15875">
                <a:solidFill>
                  <a:srgbClr val="000000"/>
                </a:solidFill>
                <a:prstDash val="solid"/>
              </a:ln>
            </c:spPr>
          </c:dPt>
          <c:dPt>
            <c:idx val="4"/>
            <c:bubble3D val="0"/>
            <c:spPr>
              <a:solidFill>
                <a:srgbClr val="FF0000"/>
              </a:solidFill>
              <a:ln w="15875">
                <a:solidFill>
                  <a:srgbClr val="000000"/>
                </a:solidFill>
                <a:prstDash val="solid"/>
              </a:ln>
            </c:spPr>
          </c:dPt>
          <c:dPt>
            <c:idx val="5"/>
            <c:bubble3D val="0"/>
            <c:spPr>
              <a:solidFill>
                <a:srgbClr val="99CCFF"/>
              </a:solidFill>
              <a:ln w="15875">
                <a:solidFill>
                  <a:srgbClr val="000000"/>
                </a:solidFill>
                <a:prstDash val="solid"/>
              </a:ln>
            </c:spPr>
          </c:dPt>
          <c:dPt>
            <c:idx val="6"/>
            <c:bubble3D val="0"/>
            <c:spPr>
              <a:solidFill>
                <a:srgbClr val="00FFFF"/>
              </a:solidFill>
              <a:ln w="15875">
                <a:solidFill>
                  <a:srgbClr val="000000"/>
                </a:solidFill>
                <a:prstDash val="solid"/>
              </a:ln>
            </c:spPr>
          </c:dPt>
          <c:dPt>
            <c:idx val="7"/>
            <c:bubble3D val="0"/>
            <c:spPr>
              <a:solidFill>
                <a:srgbClr val="CCCCFF"/>
              </a:solidFill>
              <a:ln w="15875">
                <a:solidFill>
                  <a:srgbClr val="000000"/>
                </a:solidFill>
                <a:prstDash val="solid"/>
              </a:ln>
            </c:spPr>
          </c:dPt>
          <c:dPt>
            <c:idx val="8"/>
            <c:bubble3D val="0"/>
            <c:spPr>
              <a:solidFill>
                <a:srgbClr val="FFFF00"/>
              </a:solidFill>
              <a:ln w="15875">
                <a:solidFill>
                  <a:srgbClr val="000000"/>
                </a:solidFill>
                <a:prstDash val="solid"/>
              </a:ln>
            </c:spPr>
          </c:dPt>
          <c:dPt>
            <c:idx val="9"/>
            <c:bubble3D val="0"/>
            <c:spPr>
              <a:solidFill>
                <a:srgbClr val="FF00FF"/>
              </a:solidFill>
              <a:ln w="15875">
                <a:solidFill>
                  <a:srgbClr val="000000"/>
                </a:solidFill>
                <a:prstDash val="solid"/>
              </a:ln>
            </c:spPr>
          </c:dPt>
          <c:dPt>
            <c:idx val="10"/>
            <c:bubble3D val="0"/>
            <c:spPr>
              <a:solidFill>
                <a:srgbClr val="FF99CC"/>
              </a:solidFill>
              <a:ln w="15875">
                <a:solidFill>
                  <a:srgbClr val="000000"/>
                </a:solidFill>
                <a:prstDash val="solid"/>
              </a:ln>
            </c:spPr>
          </c:dPt>
          <c:dPt>
            <c:idx val="11"/>
            <c:bubble3D val="0"/>
            <c:spPr>
              <a:solidFill>
                <a:srgbClr val="99CC00"/>
              </a:solidFill>
              <a:ln w="15875">
                <a:solidFill>
                  <a:srgbClr val="000000"/>
                </a:solidFill>
                <a:prstDash val="solid"/>
              </a:ln>
            </c:spPr>
          </c:dPt>
          <c:dLbls>
            <c:dLbl>
              <c:idx val="0"/>
              <c:layout>
                <c:manualLayout>
                  <c:x val="-0.10973867397010156"/>
                  <c:y val="-5.1899177685924648E-2"/>
                </c:manualLayout>
              </c:layout>
              <c:tx>
                <c:rich>
                  <a:bodyPr/>
                  <a:lstStyle/>
                  <a:p>
                    <a:r>
                      <a:rPr lang="ru-RU" sz="800"/>
                      <a:t>Налог на прибыль организаций;26,5%</a:t>
                    </a:r>
                    <a:endParaRPr lang="ru-RU"/>
                  </a:p>
                </c:rich>
              </c:tx>
              <c:dLblPos val="bestFit"/>
              <c:showLegendKey val="0"/>
              <c:showVal val="1"/>
              <c:showCatName val="1"/>
              <c:showSerName val="1"/>
              <c:showPercent val="0"/>
              <c:showBubbleSize val="0"/>
            </c:dLbl>
            <c:dLbl>
              <c:idx val="1"/>
              <c:layout>
                <c:manualLayout>
                  <c:x val="-7.1276796922123867E-2"/>
                  <c:y val="-0.11608327104807266"/>
                </c:manualLayout>
              </c:layout>
              <c:tx>
                <c:rich>
                  <a:bodyPr/>
                  <a:lstStyle/>
                  <a:p>
                    <a:r>
                      <a:rPr lang="ru-RU" sz="800"/>
                      <a:t>Налог на доходы физических лиц; 32,9%</a:t>
                    </a:r>
                    <a:endParaRPr lang="ru-RU"/>
                  </a:p>
                </c:rich>
              </c:tx>
              <c:dLblPos val="bestFit"/>
              <c:showLegendKey val="0"/>
              <c:showVal val="1"/>
              <c:showCatName val="1"/>
              <c:showSerName val="1"/>
              <c:showPercent val="0"/>
              <c:showBubbleSize val="0"/>
            </c:dLbl>
            <c:dLbl>
              <c:idx val="2"/>
              <c:layout>
                <c:manualLayout>
                  <c:x val="-0.11617167419289987"/>
                  <c:y val="-0.16931181803000939"/>
                </c:manualLayout>
              </c:layout>
              <c:tx>
                <c:rich>
                  <a:bodyPr/>
                  <a:lstStyle/>
                  <a:p>
                    <a:r>
                      <a:rPr lang="ru-RU" sz="800"/>
                      <a:t>Акцизы; 5,6%</a:t>
                    </a:r>
                    <a:endParaRPr lang="ru-RU"/>
                  </a:p>
                </c:rich>
              </c:tx>
              <c:dLblPos val="bestFit"/>
              <c:showLegendKey val="0"/>
              <c:showVal val="1"/>
              <c:showCatName val="1"/>
              <c:showSerName val="1"/>
              <c:showPercent val="0"/>
              <c:showBubbleSize val="0"/>
            </c:dLbl>
            <c:dLbl>
              <c:idx val="3"/>
              <c:layout>
                <c:manualLayout>
                  <c:x val="-8.6861424930578888E-3"/>
                  <c:y val="-0.26551538601418634"/>
                </c:manualLayout>
              </c:layout>
              <c:tx>
                <c:rich>
                  <a:bodyPr/>
                  <a:lstStyle/>
                  <a:p>
                    <a:r>
                      <a:rPr lang="ru-RU" sz="800"/>
                      <a:t>Налоги на совокупный доход; 4,2%</a:t>
                    </a:r>
                    <a:endParaRPr lang="ru-RU"/>
                  </a:p>
                </c:rich>
              </c:tx>
              <c:dLblPos val="bestFit"/>
              <c:showLegendKey val="0"/>
              <c:showVal val="1"/>
              <c:showCatName val="1"/>
              <c:showSerName val="1"/>
              <c:showPercent val="0"/>
              <c:showBubbleSize val="0"/>
            </c:dLbl>
            <c:dLbl>
              <c:idx val="4"/>
              <c:layout>
                <c:manualLayout>
                  <c:x val="-1.713046738722877E-2"/>
                  <c:y val="-0.22792800543637509"/>
                </c:manualLayout>
              </c:layout>
              <c:tx>
                <c:rich>
                  <a:bodyPr/>
                  <a:lstStyle/>
                  <a:p>
                    <a:r>
                      <a:rPr lang="ru-RU" sz="800"/>
                      <a:t>Налог на имущество организаций; 21,3%</a:t>
                    </a:r>
                    <a:endParaRPr lang="ru-RU"/>
                  </a:p>
                </c:rich>
              </c:tx>
              <c:dLblPos val="bestFit"/>
              <c:showLegendKey val="0"/>
              <c:showVal val="1"/>
              <c:showCatName val="1"/>
              <c:showSerName val="1"/>
              <c:showPercent val="0"/>
              <c:showBubbleSize val="0"/>
            </c:dLbl>
            <c:dLbl>
              <c:idx val="5"/>
              <c:layout>
                <c:manualLayout>
                  <c:x val="0.10675127565576042"/>
                  <c:y val="-4.2194500034289061E-2"/>
                </c:manualLayout>
              </c:layout>
              <c:tx>
                <c:rich>
                  <a:bodyPr/>
                  <a:lstStyle/>
                  <a:p>
                    <a:r>
                      <a:rPr lang="ru-RU" sz="800"/>
                      <a:t>Транспортный налог; 2,4%</a:t>
                    </a:r>
                    <a:endParaRPr lang="ru-RU"/>
                  </a:p>
                </c:rich>
              </c:tx>
              <c:dLblPos val="bestFit"/>
              <c:showLegendKey val="0"/>
              <c:showVal val="1"/>
              <c:showCatName val="1"/>
              <c:showSerName val="1"/>
              <c:showPercent val="0"/>
              <c:showBubbleSize val="0"/>
            </c:dLbl>
            <c:dLbl>
              <c:idx val="6"/>
              <c:layout>
                <c:manualLayout>
                  <c:x val="0.13155621851616375"/>
                  <c:y val="5.2892188951440454E-2"/>
                </c:manualLayout>
              </c:layout>
              <c:tx>
                <c:rich>
                  <a:bodyPr/>
                  <a:lstStyle/>
                  <a:p>
                    <a:r>
                      <a:rPr lang="ru-RU" sz="800"/>
                      <a:t>Налоги за пользование природными ресурсами; 3,1%</a:t>
                    </a:r>
                    <a:endParaRPr lang="ru-RU"/>
                  </a:p>
                </c:rich>
              </c:tx>
              <c:dLblPos val="bestFit"/>
              <c:showLegendKey val="0"/>
              <c:showVal val="1"/>
              <c:showCatName val="1"/>
              <c:showSerName val="1"/>
              <c:showPercent val="0"/>
              <c:showBubbleSize val="0"/>
            </c:dLbl>
            <c:dLbl>
              <c:idx val="7"/>
              <c:layout>
                <c:manualLayout>
                  <c:x val="0.20657178722224939"/>
                  <c:y val="0.16862987138484173"/>
                </c:manualLayout>
              </c:layout>
              <c:tx>
                <c:rich>
                  <a:bodyPr/>
                  <a:lstStyle/>
                  <a:p>
                    <a:r>
                      <a:rPr lang="ru-RU" sz="800"/>
                      <a:t>Доходы от использования имущества; 0,3%</a:t>
                    </a:r>
                    <a:endParaRPr lang="ru-RU"/>
                  </a:p>
                </c:rich>
              </c:tx>
              <c:dLblPos val="bestFit"/>
              <c:showLegendKey val="1"/>
              <c:showVal val="1"/>
              <c:showCatName val="1"/>
              <c:showSerName val="1"/>
              <c:showPercent val="0"/>
              <c:showBubbleSize val="0"/>
            </c:dLbl>
            <c:dLbl>
              <c:idx val="8"/>
              <c:layout>
                <c:manualLayout>
                  <c:x val="1.4841460034886943E-2"/>
                  <c:y val="0.21684578026321533"/>
                </c:manualLayout>
              </c:layout>
              <c:tx>
                <c:rich>
                  <a:bodyPr/>
                  <a:lstStyle/>
                  <a:p>
                    <a:r>
                      <a:rPr lang="ru-RU" sz="800"/>
                      <a:t>Платежи при пользовании природными ресурсами; 0,5%</a:t>
                    </a:r>
                    <a:endParaRPr lang="ru-RU"/>
                  </a:p>
                </c:rich>
              </c:tx>
              <c:dLblPos val="bestFit"/>
              <c:showLegendKey val="0"/>
              <c:showVal val="1"/>
              <c:showCatName val="1"/>
              <c:showSerName val="1"/>
              <c:showPercent val="0"/>
              <c:showBubbleSize val="0"/>
            </c:dLbl>
            <c:dLbl>
              <c:idx val="9"/>
              <c:layout>
                <c:manualLayout>
                  <c:x val="-0.1637374675991588"/>
                  <c:y val="0.2520520445633132"/>
                </c:manualLayout>
              </c:layout>
              <c:tx>
                <c:rich>
                  <a:bodyPr/>
                  <a:lstStyle/>
                  <a:p>
                    <a:r>
                      <a:rPr lang="ru-RU" sz="800"/>
                      <a:t>Доходы от оказания платных услу;1,9 %</a:t>
                    </a:r>
                    <a:endParaRPr lang="ru-RU"/>
                  </a:p>
                </c:rich>
              </c:tx>
              <c:dLblPos val="bestFit"/>
              <c:showLegendKey val="1"/>
              <c:showVal val="1"/>
              <c:showCatName val="1"/>
              <c:showSerName val="1"/>
              <c:showPercent val="0"/>
              <c:showBubbleSize val="0"/>
            </c:dLbl>
            <c:dLbl>
              <c:idx val="10"/>
              <c:layout>
                <c:manualLayout>
                  <c:x val="-0.21059144780815442"/>
                  <c:y val="0.18110211282972052"/>
                </c:manualLayout>
              </c:layout>
              <c:tx>
                <c:rich>
                  <a:bodyPr/>
                  <a:lstStyle/>
                  <a:p>
                    <a:r>
                      <a:rPr lang="ru-RU" sz="800"/>
                      <a:t>Госпошлина</a:t>
                    </a:r>
                    <a:r>
                      <a:rPr lang="en-US" sz="800"/>
                      <a:t>;0,</a:t>
                    </a:r>
                    <a:r>
                      <a:rPr lang="ru-RU" sz="800"/>
                      <a:t>4%</a:t>
                    </a:r>
                    <a:endParaRPr lang="en-US" sz="800"/>
                  </a:p>
                </c:rich>
              </c:tx>
              <c:showLegendKey val="1"/>
              <c:showVal val="1"/>
              <c:showCatName val="1"/>
              <c:showSerName val="1"/>
              <c:showPercent val="0"/>
              <c:showBubbleSize val="0"/>
            </c:dLbl>
            <c:dLbl>
              <c:idx val="11"/>
              <c:layout>
                <c:manualLayout>
                  <c:x val="-0.45443080484504655"/>
                  <c:y val="4.0954856889919636E-3"/>
                </c:manualLayout>
              </c:layout>
              <c:tx>
                <c:rich>
                  <a:bodyPr/>
                  <a:lstStyle/>
                  <a:p>
                    <a:r>
                      <a:rPr lang="ru-RU" sz="800" b="1" i="0" u="none" strike="noStrike" baseline="0">
                        <a:solidFill>
                          <a:srgbClr val="000000"/>
                        </a:solidFill>
                        <a:latin typeface="Times New Roman" pitchFamily="18" charset="0"/>
                        <a:cs typeface="Times New Roman" pitchFamily="18" charset="0"/>
                      </a:rPr>
                      <a:t>Штрафы, санкции, возмещение ущерба; 0,7%</a:t>
                    </a:r>
                  </a:p>
                </c:rich>
              </c:tx>
              <c:dLblPos val="bestFit"/>
              <c:showLegendKey val="1"/>
              <c:showVal val="1"/>
              <c:showCatName val="1"/>
              <c:showSerName val="1"/>
              <c:showPercent val="0"/>
              <c:showBubbleSize val="0"/>
            </c:dLbl>
            <c:dLbl>
              <c:idx val="12"/>
              <c:layout>
                <c:manualLayout>
                  <c:x val="-0.36063709427625895"/>
                  <c:y val="0.11831696809870262"/>
                </c:manualLayout>
              </c:layout>
              <c:tx>
                <c:rich>
                  <a:bodyPr/>
                  <a:lstStyle/>
                  <a:p>
                    <a:r>
                      <a:rPr lang="ru-RU"/>
                      <a:t>Доходы от продажи материальных и нематериальных активов</a:t>
                    </a:r>
                    <a:r>
                      <a:rPr lang="en-US"/>
                      <a:t>;0,</a:t>
                    </a:r>
                    <a:r>
                      <a:rPr lang="ru-RU"/>
                      <a:t>2%</a:t>
                    </a:r>
                    <a:endParaRPr lang="en-US"/>
                  </a:p>
                </c:rich>
              </c:tx>
              <c:showLegendKey val="0"/>
              <c:showVal val="1"/>
              <c:showCatName val="1"/>
              <c:showSerName val="1"/>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0"/>
            <c:showBubbleSize val="0"/>
            <c:showLeaderLines val="1"/>
          </c:dLbls>
          <c:cat>
            <c:strRef>
              <c:f>Sheet1!$B$1:$N$1</c:f>
              <c:strCache>
                <c:ptCount val="13"/>
                <c:pt idx="0">
                  <c:v>Налог на прибыль организаций</c:v>
                </c:pt>
                <c:pt idx="1">
                  <c:v>Налог на доходы физичексих лиц</c:v>
                </c:pt>
                <c:pt idx="2">
                  <c:v>Акцизы</c:v>
                </c:pt>
                <c:pt idx="3">
                  <c:v>Налоги на совокупный доход</c:v>
                </c:pt>
                <c:pt idx="4">
                  <c:v>Налог на имущество организаций</c:v>
                </c:pt>
                <c:pt idx="5">
                  <c:v>Транспортный налог</c:v>
                </c:pt>
                <c:pt idx="6">
                  <c:v>Налоги за пользование природными ресурсами</c:v>
                </c:pt>
                <c:pt idx="7">
                  <c:v>Доходы от использования имущества</c:v>
                </c:pt>
                <c:pt idx="8">
                  <c:v>Платежи при пользовании природными ресурсами</c:v>
                </c:pt>
                <c:pt idx="9">
                  <c:v>Доходы от оказания платных услуг</c:v>
                </c:pt>
                <c:pt idx="10">
                  <c:v>Госпошлина </c:v>
                </c:pt>
                <c:pt idx="11">
                  <c:v>Доходы от продажи материальных и нематериальных активов </c:v>
                </c:pt>
                <c:pt idx="12">
                  <c:v>Штрафы, санкции, возмещение ущерба</c:v>
                </c:pt>
              </c:strCache>
            </c:strRef>
          </c:cat>
          <c:val>
            <c:numRef>
              <c:f>Sheet1!$B$2:$N$2</c:f>
              <c:numCache>
                <c:formatCode>General</c:formatCode>
                <c:ptCount val="13"/>
                <c:pt idx="0">
                  <c:v>26.5</c:v>
                </c:pt>
                <c:pt idx="1">
                  <c:v>32.9</c:v>
                </c:pt>
                <c:pt idx="2">
                  <c:v>5.6</c:v>
                </c:pt>
                <c:pt idx="3">
                  <c:v>4.2</c:v>
                </c:pt>
                <c:pt idx="4">
                  <c:v>21.3</c:v>
                </c:pt>
                <c:pt idx="5">
                  <c:v>2.4</c:v>
                </c:pt>
                <c:pt idx="6">
                  <c:v>3.1</c:v>
                </c:pt>
                <c:pt idx="7">
                  <c:v>0.3</c:v>
                </c:pt>
                <c:pt idx="8">
                  <c:v>0.5</c:v>
                </c:pt>
                <c:pt idx="9">
                  <c:v>1.9</c:v>
                </c:pt>
                <c:pt idx="10">
                  <c:v>0.4</c:v>
                </c:pt>
                <c:pt idx="11">
                  <c:v>0.2</c:v>
                </c:pt>
                <c:pt idx="12">
                  <c:v>0.7</c:v>
                </c:pt>
              </c:numCache>
            </c:numRef>
          </c:val>
        </c:ser>
        <c:dLbls>
          <c:showLegendKey val="0"/>
          <c:showVal val="1"/>
          <c:showCatName val="1"/>
          <c:showSerName val="0"/>
          <c:showPercent val="0"/>
          <c:showBubbleSize val="0"/>
          <c:showLeaderLines val="1"/>
        </c:dLbls>
      </c:pie3DChart>
      <c:spPr>
        <a:gradFill rotWithShape="0">
          <a:gsLst>
            <a:gs pos="0">
              <a:srgbClr xmlns:mc="http://schemas.openxmlformats.org/markup-compatibility/2006" xmlns:a14="http://schemas.microsoft.com/office/drawing/2010/main" val="800000" mc:Ignorable="a14" a14:legacySpreadsheetColorIndex="16"/>
            </a:gs>
            <a:gs pos="100000">
              <a:srgbClr xmlns:mc="http://schemas.openxmlformats.org/markup-compatibility/2006" xmlns:a14="http://schemas.microsoft.com/office/drawing/2010/main" val="FFFFFF" mc:Ignorable="a14" a14:legacySpreadsheetColorIndex="16">
                <a:gamma/>
                <a:tint val="0"/>
                <a:invGamma/>
              </a:srgbClr>
            </a:gs>
          </a:gsLst>
          <a:path path="rect">
            <a:fillToRect l="50000" t="50000" r="50000" b="50000"/>
          </a:path>
        </a:gradFill>
        <a:ln w="12672">
          <a:noFill/>
          <a:prstDash val="solid"/>
        </a:ln>
      </c:spPr>
    </c:plotArea>
    <c:plotVisOnly val="1"/>
    <c:dispBlanksAs val="zero"/>
    <c:showDLblsOverMax val="0"/>
  </c:chart>
  <c:spPr>
    <a:noFill/>
    <a:ln w="25345">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4761904761904762"/>
          <c:y val="0.30549450549450552"/>
          <c:w val="0.66349206349206347"/>
          <c:h val="0.36483516483516482"/>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5"/>
          <c:dPt>
            <c:idx val="0"/>
            <c:bubble3D val="0"/>
            <c:spPr>
              <a:solidFill>
                <a:srgbClr val="0000FF"/>
              </a:solidFill>
              <a:ln w="15875">
                <a:solidFill>
                  <a:srgbClr val="000000"/>
                </a:solidFill>
                <a:prstDash val="solid"/>
              </a:ln>
            </c:spPr>
          </c:dPt>
          <c:dPt>
            <c:idx val="1"/>
            <c:bubble3D val="0"/>
            <c:spPr>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0" scaled="1"/>
                <a:tileRect/>
              </a:gra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gradFill rotWithShape="0">
                <a:gsLst>
                  <a:gs pos="0">
                    <a:srgbClr xmlns:mc="http://schemas.openxmlformats.org/markup-compatibility/2006" xmlns:a14="http://schemas.microsoft.com/office/drawing/2010/main" val="000000" mc:Ignorable="a14" a14:legacySpreadsheetColorIndex="45">
                      <a:gamma/>
                      <a:shade val="46275"/>
                      <a:invGamma/>
                    </a:srgbClr>
                  </a:gs>
                  <a:gs pos="5000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000000" mc:Ignorable="a14" a14:legacySpreadsheetColorIndex="45">
                      <a:gamma/>
                      <a:shade val="46275"/>
                      <a:invGamma/>
                    </a:srgbClr>
                  </a:gs>
                </a:gsLst>
                <a:lin ang="5400000" scaled="1"/>
              </a:gradFill>
              <a:ln w="15875">
                <a:solidFill>
                  <a:srgbClr val="000000"/>
                </a:solidFill>
                <a:prstDash val="solid"/>
              </a:ln>
            </c:spPr>
          </c:dPt>
          <c:dPt>
            <c:idx val="4"/>
            <c:bubble3D val="0"/>
            <c:spPr>
              <a:solidFill>
                <a:srgbClr val="FF0000"/>
              </a:solidFill>
              <a:ln w="15875">
                <a:solidFill>
                  <a:srgbClr val="000000"/>
                </a:solidFill>
                <a:prstDash val="solid"/>
              </a:ln>
            </c:spPr>
          </c:dPt>
          <c:dPt>
            <c:idx val="5"/>
            <c:bubble3D val="0"/>
            <c:spPr>
              <a:solidFill>
                <a:srgbClr val="99CCFF"/>
              </a:solidFill>
              <a:ln w="15875">
                <a:solidFill>
                  <a:srgbClr val="000000"/>
                </a:solidFill>
                <a:prstDash val="solid"/>
              </a:ln>
            </c:spPr>
          </c:dPt>
          <c:dPt>
            <c:idx val="6"/>
            <c:bubble3D val="0"/>
            <c:spPr>
              <a:solidFill>
                <a:srgbClr val="00FFFF"/>
              </a:solidFill>
              <a:ln w="15875">
                <a:solidFill>
                  <a:srgbClr val="000000"/>
                </a:solidFill>
                <a:prstDash val="solid"/>
              </a:ln>
            </c:spPr>
          </c:dPt>
          <c:dPt>
            <c:idx val="7"/>
            <c:bubble3D val="0"/>
            <c:spPr>
              <a:solidFill>
                <a:srgbClr val="CCCCFF"/>
              </a:solidFill>
              <a:ln w="15875">
                <a:solidFill>
                  <a:srgbClr val="000000"/>
                </a:solidFill>
                <a:prstDash val="solid"/>
              </a:ln>
            </c:spPr>
          </c:dPt>
          <c:dPt>
            <c:idx val="8"/>
            <c:bubble3D val="0"/>
            <c:spPr>
              <a:solidFill>
                <a:srgbClr val="FFFF00"/>
              </a:solidFill>
              <a:ln w="15875">
                <a:solidFill>
                  <a:srgbClr val="000000"/>
                </a:solidFill>
                <a:prstDash val="solid"/>
              </a:ln>
            </c:spPr>
          </c:dPt>
          <c:dPt>
            <c:idx val="9"/>
            <c:bubble3D val="0"/>
            <c:spPr>
              <a:solidFill>
                <a:srgbClr val="FF00FF"/>
              </a:solidFill>
              <a:ln w="15875">
                <a:solidFill>
                  <a:srgbClr val="000000"/>
                </a:solidFill>
                <a:prstDash val="solid"/>
              </a:ln>
            </c:spPr>
          </c:dPt>
          <c:dPt>
            <c:idx val="10"/>
            <c:bubble3D val="0"/>
            <c:spPr>
              <a:solidFill>
                <a:srgbClr val="FF99CC"/>
              </a:solidFill>
              <a:ln w="15875">
                <a:solidFill>
                  <a:srgbClr val="000000"/>
                </a:solidFill>
                <a:prstDash val="solid"/>
              </a:ln>
            </c:spPr>
          </c:dPt>
          <c:dPt>
            <c:idx val="11"/>
            <c:bubble3D val="0"/>
            <c:spPr>
              <a:solidFill>
                <a:srgbClr val="99CC00"/>
              </a:solidFill>
              <a:ln w="15875">
                <a:solidFill>
                  <a:srgbClr val="000000"/>
                </a:solidFill>
                <a:prstDash val="solid"/>
              </a:ln>
            </c:spPr>
          </c:dPt>
          <c:dLbls>
            <c:dLbl>
              <c:idx val="0"/>
              <c:layout>
                <c:manualLayout>
                  <c:x val="-0.11396979583159582"/>
                  <c:y val="-0.18189951256092987"/>
                </c:manualLayout>
              </c:layout>
              <c:tx>
                <c:rich>
                  <a:bodyPr/>
                  <a:lstStyle/>
                  <a:p>
                    <a:r>
                      <a:rPr lang="ru-RU" sz="800"/>
                      <a:t>Налог на прибыль организаций;27,4%</a:t>
                    </a:r>
                    <a:endParaRPr lang="ru-RU"/>
                  </a:p>
                </c:rich>
              </c:tx>
              <c:dLblPos val="bestFit"/>
              <c:showLegendKey val="0"/>
              <c:showVal val="0"/>
              <c:showCatName val="0"/>
              <c:showSerName val="0"/>
              <c:showPercent val="0"/>
              <c:showBubbleSize val="0"/>
            </c:dLbl>
            <c:dLbl>
              <c:idx val="1"/>
              <c:layout>
                <c:manualLayout>
                  <c:x val="-7.1276796922123867E-2"/>
                  <c:y val="-0.11608327104807266"/>
                </c:manualLayout>
              </c:layout>
              <c:tx>
                <c:rich>
                  <a:bodyPr/>
                  <a:lstStyle/>
                  <a:p>
                    <a:r>
                      <a:rPr lang="ru-RU" sz="800"/>
                      <a:t>Налог на доходы физических лиц; 31,6%</a:t>
                    </a:r>
                    <a:endParaRPr lang="ru-RU"/>
                  </a:p>
                </c:rich>
              </c:tx>
              <c:dLblPos val="bestFit"/>
              <c:showLegendKey val="0"/>
              <c:showVal val="0"/>
              <c:showCatName val="0"/>
              <c:showSerName val="0"/>
              <c:showPercent val="0"/>
              <c:showBubbleSize val="0"/>
            </c:dLbl>
            <c:dLbl>
              <c:idx val="2"/>
              <c:layout>
                <c:manualLayout>
                  <c:x val="-0.11617167419289987"/>
                  <c:y val="-0.16931181803000939"/>
                </c:manualLayout>
              </c:layout>
              <c:tx>
                <c:rich>
                  <a:bodyPr/>
                  <a:lstStyle/>
                  <a:p>
                    <a:r>
                      <a:rPr lang="ru-RU" sz="800"/>
                      <a:t>Акцизы; 5,2%</a:t>
                    </a:r>
                    <a:endParaRPr lang="ru-RU"/>
                  </a:p>
                </c:rich>
              </c:tx>
              <c:dLblPos val="bestFit"/>
              <c:showLegendKey val="0"/>
              <c:showVal val="0"/>
              <c:showCatName val="0"/>
              <c:showSerName val="0"/>
              <c:showPercent val="0"/>
              <c:showBubbleSize val="0"/>
            </c:dLbl>
            <c:dLbl>
              <c:idx val="3"/>
              <c:layout>
                <c:manualLayout>
                  <c:x val="-8.6861424930578888E-3"/>
                  <c:y val="-0.26551538601418634"/>
                </c:manualLayout>
              </c:layout>
              <c:tx>
                <c:rich>
                  <a:bodyPr/>
                  <a:lstStyle/>
                  <a:p>
                    <a:r>
                      <a:rPr lang="ru-RU" sz="800"/>
                      <a:t>Налоги на совокупный доход; 4,4 %</a:t>
                    </a:r>
                    <a:endParaRPr lang="ru-RU"/>
                  </a:p>
                </c:rich>
              </c:tx>
              <c:dLblPos val="bestFit"/>
              <c:showLegendKey val="0"/>
              <c:showVal val="0"/>
              <c:showCatName val="0"/>
              <c:showSerName val="0"/>
              <c:showPercent val="0"/>
              <c:showBubbleSize val="0"/>
            </c:dLbl>
            <c:dLbl>
              <c:idx val="4"/>
              <c:layout>
                <c:manualLayout>
                  <c:x val="-8.8360683886476808E-3"/>
                  <c:y val="-0.15862192225971752"/>
                </c:manualLayout>
              </c:layout>
              <c:tx>
                <c:rich>
                  <a:bodyPr/>
                  <a:lstStyle/>
                  <a:p>
                    <a:r>
                      <a:rPr lang="ru-RU" sz="800"/>
                      <a:t>Налог на имущество организаций; 23,4%</a:t>
                    </a:r>
                    <a:endParaRPr lang="ru-RU"/>
                  </a:p>
                </c:rich>
              </c:tx>
              <c:dLblPos val="bestFit"/>
              <c:showLegendKey val="0"/>
              <c:showVal val="0"/>
              <c:showCatName val="0"/>
              <c:showSerName val="0"/>
              <c:showPercent val="0"/>
              <c:showBubbleSize val="0"/>
            </c:dLbl>
            <c:dLbl>
              <c:idx val="5"/>
              <c:layout>
                <c:manualLayout>
                  <c:x val="0.12418851849126336"/>
                  <c:y val="-1.2110986126734158E-3"/>
                </c:manualLayout>
              </c:layout>
              <c:tx>
                <c:rich>
                  <a:bodyPr/>
                  <a:lstStyle/>
                  <a:p>
                    <a:r>
                      <a:rPr lang="ru-RU" sz="800"/>
                      <a:t>Транспортный налог; 2,4%</a:t>
                    </a:r>
                    <a:endParaRPr lang="ru-RU"/>
                  </a:p>
                </c:rich>
              </c:tx>
              <c:dLblPos val="bestFit"/>
              <c:showLegendKey val="0"/>
              <c:showVal val="0"/>
              <c:showCatName val="0"/>
              <c:showSerName val="0"/>
              <c:showPercent val="0"/>
              <c:showBubbleSize val="0"/>
            </c:dLbl>
            <c:dLbl>
              <c:idx val="6"/>
              <c:layout>
                <c:manualLayout>
                  <c:x val="0.13475637975159646"/>
                  <c:y val="0.10024746906636671"/>
                </c:manualLayout>
              </c:layout>
              <c:tx>
                <c:rich>
                  <a:bodyPr/>
                  <a:lstStyle/>
                  <a:p>
                    <a:r>
                      <a:rPr lang="ru-RU" sz="800"/>
                      <a:t>Налоги за пользование природными ресурсами; 2,4%</a:t>
                    </a:r>
                    <a:endParaRPr lang="ru-RU"/>
                  </a:p>
                </c:rich>
              </c:tx>
              <c:dLblPos val="bestFit"/>
              <c:showLegendKey val="0"/>
              <c:showVal val="0"/>
              <c:showCatName val="0"/>
              <c:showSerName val="0"/>
              <c:showPercent val="0"/>
              <c:showBubbleSize val="0"/>
            </c:dLbl>
            <c:dLbl>
              <c:idx val="7"/>
              <c:layout>
                <c:manualLayout>
                  <c:x val="0.15532154275108134"/>
                  <c:y val="0.22577252843394577"/>
                </c:manualLayout>
              </c:layout>
              <c:tx>
                <c:rich>
                  <a:bodyPr/>
                  <a:lstStyle/>
                  <a:p>
                    <a:r>
                      <a:rPr lang="ru-RU" sz="800"/>
                      <a:t>Доходы от использования имущества; 0,2%</a:t>
                    </a:r>
                    <a:endParaRPr lang="ru-RU"/>
                  </a:p>
                </c:rich>
              </c:tx>
              <c:dLblPos val="bestFit"/>
              <c:showLegendKey val="1"/>
              <c:showVal val="0"/>
              <c:showCatName val="0"/>
              <c:showSerName val="0"/>
              <c:showPercent val="0"/>
              <c:showBubbleSize val="0"/>
            </c:dLbl>
            <c:dLbl>
              <c:idx val="8"/>
              <c:layout>
                <c:manualLayout>
                  <c:x val="-9.866885798153735E-2"/>
                  <c:y val="0.2074575678040245"/>
                </c:manualLayout>
              </c:layout>
              <c:tx>
                <c:rich>
                  <a:bodyPr/>
                  <a:lstStyle/>
                  <a:p>
                    <a:r>
                      <a:rPr lang="ru-RU" sz="800"/>
                      <a:t>Платежи при пользовании природными ресурсами; 0,5%</a:t>
                    </a:r>
                    <a:endParaRPr lang="ru-RU"/>
                  </a:p>
                </c:rich>
              </c:tx>
              <c:dLblPos val="bestFit"/>
              <c:showLegendKey val="1"/>
              <c:showVal val="0"/>
              <c:showCatName val="0"/>
              <c:showSerName val="0"/>
              <c:showPercent val="0"/>
              <c:showBubbleSize val="0"/>
            </c:dLbl>
            <c:dLbl>
              <c:idx val="9"/>
              <c:layout>
                <c:manualLayout>
                  <c:x val="-0.34975691122721808"/>
                  <c:y val="0.2553700787401576"/>
                </c:manualLayout>
              </c:layout>
              <c:tx>
                <c:rich>
                  <a:bodyPr/>
                  <a:lstStyle/>
                  <a:p>
                    <a:r>
                      <a:rPr lang="ru-RU" sz="800"/>
                      <a:t>Доходы от оказания платных услу;1,8%</a:t>
                    </a:r>
                    <a:endParaRPr lang="ru-RU"/>
                  </a:p>
                </c:rich>
              </c:tx>
              <c:dLblPos val="bestFit"/>
              <c:showLegendKey val="1"/>
              <c:showVal val="1"/>
              <c:showCatName val="0"/>
              <c:showSerName val="0"/>
              <c:showPercent val="0"/>
              <c:showBubbleSize val="0"/>
            </c:dLbl>
            <c:dLbl>
              <c:idx val="10"/>
              <c:layout>
                <c:manualLayout>
                  <c:x val="-0.32868561990498851"/>
                  <c:y val="0.13958480189976252"/>
                </c:manualLayout>
              </c:layout>
              <c:tx>
                <c:rich>
                  <a:bodyPr/>
                  <a:lstStyle/>
                  <a:p>
                    <a:r>
                      <a:rPr lang="ru-RU" sz="800"/>
                      <a:t>Госпошлина</a:t>
                    </a:r>
                    <a:r>
                      <a:rPr lang="en-US" sz="800"/>
                      <a:t>;</a:t>
                    </a:r>
                    <a:r>
                      <a:rPr lang="ru-RU" sz="800"/>
                      <a:t> 0,3%</a:t>
                    </a:r>
                  </a:p>
                  <a:p>
                    <a:endParaRPr lang="en-US" sz="800"/>
                  </a:p>
                </c:rich>
              </c:tx>
              <c:showLegendKey val="1"/>
              <c:showVal val="1"/>
              <c:showCatName val="0"/>
              <c:showSerName val="0"/>
              <c:showPercent val="0"/>
              <c:showBubbleSize val="0"/>
            </c:dLbl>
            <c:dLbl>
              <c:idx val="11"/>
              <c:layout>
                <c:manualLayout>
                  <c:x val="-0.47112288534026703"/>
                  <c:y val="1.367204099487564E-2"/>
                </c:manualLayout>
              </c:layout>
              <c:tx>
                <c:rich>
                  <a:bodyPr/>
                  <a:lstStyle/>
                  <a:p>
                    <a:r>
                      <a:rPr lang="ru-RU" sz="800" b="1" i="0" u="none" strike="noStrike" baseline="0">
                        <a:solidFill>
                          <a:srgbClr val="000000"/>
                        </a:solidFill>
                        <a:latin typeface="Times New Roman" pitchFamily="18" charset="0"/>
                        <a:cs typeface="Times New Roman" pitchFamily="18" charset="0"/>
                      </a:rPr>
                      <a:t>Штрафы, санкции, возмещение ущерба; 0,4%</a:t>
                    </a:r>
                  </a:p>
                </c:rich>
              </c:tx>
              <c:dLblPos val="bestFit"/>
              <c:showLegendKey val="1"/>
              <c:showVal val="0"/>
              <c:showCatName val="0"/>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Sheet1!$B$1:$M$1</c:f>
              <c:strCache>
                <c:ptCount val="12"/>
                <c:pt idx="0">
                  <c:v>Налог на прибыль организаций</c:v>
                </c:pt>
                <c:pt idx="1">
                  <c:v>Налог на доходы физичексих лиц</c:v>
                </c:pt>
                <c:pt idx="2">
                  <c:v>Акцизы</c:v>
                </c:pt>
                <c:pt idx="3">
                  <c:v>Налоги на совокупный доход</c:v>
                </c:pt>
                <c:pt idx="4">
                  <c:v>Налог на имущество организаций</c:v>
                </c:pt>
                <c:pt idx="5">
                  <c:v>Транспортный налог</c:v>
                </c:pt>
                <c:pt idx="6">
                  <c:v>Налоги за пользование природными ресурсами</c:v>
                </c:pt>
                <c:pt idx="7">
                  <c:v>Доходы от использования имущества</c:v>
                </c:pt>
                <c:pt idx="8">
                  <c:v>Платежи при пользовании природными ресурсами</c:v>
                </c:pt>
                <c:pt idx="9">
                  <c:v>Доходы от оказания платных услуг</c:v>
                </c:pt>
                <c:pt idx="10">
                  <c:v>Госпошлина </c:v>
                </c:pt>
                <c:pt idx="11">
                  <c:v>Штрафы, санкции, возмещение ущерба</c:v>
                </c:pt>
              </c:strCache>
            </c:strRef>
          </c:cat>
          <c:val>
            <c:numRef>
              <c:f>Sheet1!$B$2:$M$2</c:f>
              <c:numCache>
                <c:formatCode>General</c:formatCode>
                <c:ptCount val="12"/>
                <c:pt idx="0">
                  <c:v>27.4</c:v>
                </c:pt>
                <c:pt idx="1">
                  <c:v>31.6</c:v>
                </c:pt>
                <c:pt idx="2">
                  <c:v>5.2</c:v>
                </c:pt>
                <c:pt idx="3">
                  <c:v>4.4000000000000004</c:v>
                </c:pt>
                <c:pt idx="4">
                  <c:v>23.4</c:v>
                </c:pt>
                <c:pt idx="5">
                  <c:v>2.4</c:v>
                </c:pt>
                <c:pt idx="6">
                  <c:v>2.4</c:v>
                </c:pt>
                <c:pt idx="7">
                  <c:v>0.2</c:v>
                </c:pt>
                <c:pt idx="8">
                  <c:v>0.5</c:v>
                </c:pt>
                <c:pt idx="9">
                  <c:v>1.8</c:v>
                </c:pt>
                <c:pt idx="10">
                  <c:v>0.3</c:v>
                </c:pt>
                <c:pt idx="11">
                  <c:v>0.4</c:v>
                </c:pt>
              </c:numCache>
            </c:numRef>
          </c:val>
        </c:ser>
        <c:dLbls>
          <c:showLegendKey val="0"/>
          <c:showVal val="1"/>
          <c:showCatName val="1"/>
          <c:showSerName val="0"/>
          <c:showPercent val="0"/>
          <c:showBubbleSize val="0"/>
          <c:showLeaderLines val="1"/>
        </c:dLbls>
      </c:pie3DChart>
      <c:spPr>
        <a:gradFill rotWithShape="0">
          <a:gsLst>
            <a:gs pos="0">
              <a:srgbClr xmlns:mc="http://schemas.openxmlformats.org/markup-compatibility/2006" xmlns:a14="http://schemas.microsoft.com/office/drawing/2010/main" val="800000" mc:Ignorable="a14" a14:legacySpreadsheetColorIndex="16"/>
            </a:gs>
            <a:gs pos="100000">
              <a:srgbClr xmlns:mc="http://schemas.openxmlformats.org/markup-compatibility/2006" xmlns:a14="http://schemas.microsoft.com/office/drawing/2010/main" val="FFFFFF" mc:Ignorable="a14" a14:legacySpreadsheetColorIndex="16">
                <a:gamma/>
                <a:tint val="0"/>
                <a:invGamma/>
              </a:srgbClr>
            </a:gs>
          </a:gsLst>
          <a:path path="rect">
            <a:fillToRect l="50000" t="50000" r="50000" b="50000"/>
          </a:path>
        </a:gradFill>
        <a:ln w="12672">
          <a:noFill/>
          <a:prstDash val="solid"/>
        </a:ln>
      </c:spPr>
    </c:plotArea>
    <c:plotVisOnly val="1"/>
    <c:dispBlanksAs val="zero"/>
    <c:showDLblsOverMax val="0"/>
  </c:chart>
  <c:spPr>
    <a:noFill/>
    <a:ln w="25345">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0.27484</cdr:x>
      <cdr:y>0.6152</cdr:y>
    </cdr:from>
    <cdr:to>
      <cdr:x>0.52484</cdr:x>
      <cdr:y>0.72922</cdr:y>
    </cdr:to>
    <cdr:cxnSp macro="">
      <cdr:nvCxnSpPr>
        <cdr:cNvPr id="3" name="Прямая соединительная линия 2"/>
        <cdr:cNvCxnSpPr/>
      </cdr:nvCxnSpPr>
      <cdr:spPr>
        <a:xfrm xmlns:a="http://schemas.openxmlformats.org/drawingml/2006/main" flipV="1">
          <a:off x="1685925" y="2466968"/>
          <a:ext cx="1533496" cy="45720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0.27484</cdr:x>
      <cdr:y>0.6152</cdr:y>
    </cdr:from>
    <cdr:to>
      <cdr:x>0.52484</cdr:x>
      <cdr:y>0.72922</cdr:y>
    </cdr:to>
    <cdr:cxnSp macro="">
      <cdr:nvCxnSpPr>
        <cdr:cNvPr id="3" name="Прямая соединительная линия 2"/>
        <cdr:cNvCxnSpPr/>
      </cdr:nvCxnSpPr>
      <cdr:spPr>
        <a:xfrm xmlns:a="http://schemas.openxmlformats.org/drawingml/2006/main" flipV="1">
          <a:off x="1685925" y="2466968"/>
          <a:ext cx="1533496" cy="45720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8DD6-6B79-442A-AB47-6415A3C5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47</Pages>
  <Words>21141</Words>
  <Characters>120507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2018-05-21T06:20:00Z</cp:lastPrinted>
  <dcterms:created xsi:type="dcterms:W3CDTF">2017-11-03T05:46:00Z</dcterms:created>
  <dcterms:modified xsi:type="dcterms:W3CDTF">2018-05-21T06:26:00Z</dcterms:modified>
</cp:coreProperties>
</file>