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7" w:rsidRPr="0063341B" w:rsidRDefault="002A5B68" w:rsidP="001559B7">
      <w:pPr>
        <w:spacing w:after="120"/>
        <w:ind w:firstLine="763"/>
        <w:jc w:val="center"/>
        <w:rPr>
          <w:bCs/>
          <w:color w:val="000099"/>
          <w:sz w:val="26"/>
          <w:szCs w:val="26"/>
        </w:rPr>
      </w:pPr>
      <w:r w:rsidRPr="0063341B">
        <w:rPr>
          <w:color w:val="000099"/>
          <w:sz w:val="26"/>
          <w:szCs w:val="26"/>
        </w:rPr>
        <w:t xml:space="preserve">Информация о принятых мерах по итогам контрольного мероприятия, </w:t>
      </w:r>
      <w:r w:rsidR="001559B7" w:rsidRPr="0063341B">
        <w:rPr>
          <w:color w:val="000099"/>
          <w:sz w:val="26"/>
          <w:szCs w:val="26"/>
        </w:rPr>
        <w:br/>
      </w:r>
      <w:r w:rsidRPr="0063341B">
        <w:rPr>
          <w:color w:val="000099"/>
          <w:sz w:val="26"/>
          <w:szCs w:val="26"/>
        </w:rPr>
        <w:t>проведенного в</w:t>
      </w:r>
      <w:r w:rsidR="001559B7" w:rsidRPr="0063341B">
        <w:rPr>
          <w:color w:val="000099"/>
          <w:sz w:val="26"/>
          <w:szCs w:val="26"/>
        </w:rPr>
        <w:t xml:space="preserve"> </w:t>
      </w:r>
      <w:r w:rsidR="001559B7" w:rsidRPr="0063341B">
        <w:rPr>
          <w:bCs/>
          <w:color w:val="000099"/>
          <w:sz w:val="26"/>
          <w:szCs w:val="26"/>
        </w:rPr>
        <w:t xml:space="preserve">государственном унитарном предприятии Амурской области </w:t>
      </w:r>
      <w:r w:rsidR="001559B7" w:rsidRPr="0063341B">
        <w:rPr>
          <w:bCs/>
          <w:color w:val="000099"/>
          <w:sz w:val="26"/>
          <w:szCs w:val="26"/>
        </w:rPr>
        <w:br/>
        <w:t>Реабилитационно-технический центр по обслуживанию инвалидов»</w:t>
      </w:r>
    </w:p>
    <w:p w:rsidR="002A5B68" w:rsidRPr="0063341B" w:rsidRDefault="002A5B68" w:rsidP="002A5B68">
      <w:pPr>
        <w:jc w:val="both"/>
        <w:rPr>
          <w:color w:val="000099"/>
          <w:sz w:val="26"/>
          <w:szCs w:val="26"/>
        </w:rPr>
      </w:pPr>
    </w:p>
    <w:p w:rsidR="009709E8" w:rsidRPr="00D21623" w:rsidRDefault="00AB6D67" w:rsidP="00D21623">
      <w:pPr>
        <w:spacing w:after="40"/>
        <w:ind w:firstLine="709"/>
        <w:jc w:val="both"/>
        <w:rPr>
          <w:color w:val="000099"/>
          <w:sz w:val="26"/>
          <w:szCs w:val="26"/>
        </w:rPr>
      </w:pPr>
      <w:r w:rsidRPr="0063341B">
        <w:rPr>
          <w:color w:val="000099"/>
          <w:sz w:val="26"/>
          <w:szCs w:val="26"/>
        </w:rPr>
        <w:t xml:space="preserve">В соответствии с планом работы контрольно-счетной палаты Амурской области </w:t>
      </w:r>
      <w:r w:rsidR="001559B7" w:rsidRPr="0063341B">
        <w:rPr>
          <w:color w:val="000099"/>
          <w:sz w:val="26"/>
          <w:szCs w:val="26"/>
        </w:rPr>
        <w:br/>
      </w:r>
      <w:r w:rsidR="000254F4" w:rsidRPr="0063341B">
        <w:rPr>
          <w:color w:val="000099"/>
          <w:sz w:val="26"/>
          <w:szCs w:val="26"/>
        </w:rPr>
        <w:t>на 20</w:t>
      </w:r>
      <w:r w:rsidR="00C77B78" w:rsidRPr="0063341B">
        <w:rPr>
          <w:color w:val="000099"/>
          <w:sz w:val="26"/>
          <w:szCs w:val="26"/>
        </w:rPr>
        <w:t>2</w:t>
      </w:r>
      <w:r w:rsidR="00DB6B3D" w:rsidRPr="0063341B">
        <w:rPr>
          <w:color w:val="000099"/>
          <w:sz w:val="26"/>
          <w:szCs w:val="26"/>
        </w:rPr>
        <w:t>3</w:t>
      </w:r>
      <w:r w:rsidR="000254F4" w:rsidRPr="0063341B">
        <w:rPr>
          <w:color w:val="000099"/>
          <w:sz w:val="26"/>
          <w:szCs w:val="26"/>
        </w:rPr>
        <w:t xml:space="preserve"> год, утвержденным решением </w:t>
      </w:r>
      <w:r w:rsidR="001559B7" w:rsidRPr="0063341B">
        <w:rPr>
          <w:color w:val="000099"/>
          <w:sz w:val="26"/>
          <w:szCs w:val="26"/>
        </w:rPr>
        <w:t>К</w:t>
      </w:r>
      <w:r w:rsidR="000254F4" w:rsidRPr="0063341B">
        <w:rPr>
          <w:color w:val="000099"/>
          <w:sz w:val="26"/>
          <w:szCs w:val="26"/>
        </w:rPr>
        <w:t xml:space="preserve">оллегии контрольно-счетной палаты Амурской </w:t>
      </w:r>
      <w:r w:rsidR="001559B7" w:rsidRPr="0063341B">
        <w:rPr>
          <w:color w:val="000099"/>
          <w:sz w:val="26"/>
          <w:szCs w:val="26"/>
        </w:rPr>
        <w:br/>
      </w:r>
      <w:r w:rsidR="000254F4" w:rsidRPr="0063341B">
        <w:rPr>
          <w:color w:val="000099"/>
          <w:sz w:val="26"/>
          <w:szCs w:val="26"/>
        </w:rPr>
        <w:t xml:space="preserve">области  от </w:t>
      </w:r>
      <w:r w:rsidR="00DB6B3D" w:rsidRPr="0063341B">
        <w:rPr>
          <w:color w:val="000099"/>
          <w:sz w:val="26"/>
          <w:szCs w:val="26"/>
        </w:rPr>
        <w:t>14</w:t>
      </w:r>
      <w:r w:rsidR="000254F4" w:rsidRPr="00D21623">
        <w:rPr>
          <w:color w:val="000099"/>
          <w:sz w:val="26"/>
          <w:szCs w:val="26"/>
        </w:rPr>
        <w:t>.12.20</w:t>
      </w:r>
      <w:r w:rsidR="006D7CEE" w:rsidRPr="00D21623">
        <w:rPr>
          <w:color w:val="000099"/>
          <w:sz w:val="26"/>
          <w:szCs w:val="26"/>
        </w:rPr>
        <w:t>2</w:t>
      </w:r>
      <w:r w:rsidR="00DB6B3D" w:rsidRPr="00D21623">
        <w:rPr>
          <w:color w:val="000099"/>
          <w:sz w:val="26"/>
          <w:szCs w:val="26"/>
        </w:rPr>
        <w:t>2</w:t>
      </w:r>
      <w:r w:rsidR="00C77B78" w:rsidRPr="00D21623">
        <w:rPr>
          <w:color w:val="000099"/>
          <w:sz w:val="26"/>
          <w:szCs w:val="26"/>
        </w:rPr>
        <w:t xml:space="preserve"> (</w:t>
      </w:r>
      <w:r w:rsidR="00214E6C" w:rsidRPr="00D21623">
        <w:rPr>
          <w:color w:val="000099"/>
          <w:sz w:val="26"/>
          <w:szCs w:val="26"/>
        </w:rPr>
        <w:t>пункт 2.</w:t>
      </w:r>
      <w:r w:rsidR="001559B7" w:rsidRPr="00D21623">
        <w:rPr>
          <w:color w:val="000099"/>
          <w:sz w:val="26"/>
          <w:szCs w:val="26"/>
        </w:rPr>
        <w:t>20</w:t>
      </w:r>
      <w:r w:rsidR="00C77B78" w:rsidRPr="00D21623">
        <w:rPr>
          <w:color w:val="000099"/>
          <w:sz w:val="26"/>
          <w:szCs w:val="26"/>
        </w:rPr>
        <w:t>)</w:t>
      </w:r>
      <w:r w:rsidR="00705D30" w:rsidRPr="00D21623">
        <w:rPr>
          <w:color w:val="000099"/>
          <w:sz w:val="26"/>
          <w:szCs w:val="26"/>
        </w:rPr>
        <w:t>,</w:t>
      </w:r>
      <w:r w:rsidR="00A67084" w:rsidRPr="00D21623">
        <w:rPr>
          <w:color w:val="000099"/>
          <w:sz w:val="26"/>
          <w:szCs w:val="26"/>
        </w:rPr>
        <w:t xml:space="preserve"> </w:t>
      </w:r>
      <w:r w:rsidR="006A48BA" w:rsidRPr="00D21623">
        <w:rPr>
          <w:color w:val="000099"/>
          <w:sz w:val="26"/>
          <w:szCs w:val="26"/>
        </w:rPr>
        <w:t xml:space="preserve">в период </w:t>
      </w:r>
      <w:r w:rsidR="00EC597C" w:rsidRPr="00D21623">
        <w:rPr>
          <w:color w:val="000099"/>
          <w:sz w:val="26"/>
          <w:szCs w:val="26"/>
        </w:rPr>
        <w:t xml:space="preserve">с </w:t>
      </w:r>
      <w:r w:rsidR="001559B7" w:rsidRPr="00D21623">
        <w:rPr>
          <w:color w:val="000099"/>
          <w:sz w:val="26"/>
          <w:szCs w:val="26"/>
        </w:rPr>
        <w:t xml:space="preserve">22.08.2023 по 22.09.2023 </w:t>
      </w:r>
      <w:r w:rsidR="004822E2" w:rsidRPr="00D21623">
        <w:rPr>
          <w:color w:val="000099"/>
          <w:sz w:val="26"/>
          <w:szCs w:val="26"/>
        </w:rPr>
        <w:t>пров</w:t>
      </w:r>
      <w:r w:rsidR="006A48BA" w:rsidRPr="00D21623">
        <w:rPr>
          <w:color w:val="000099"/>
          <w:sz w:val="26"/>
          <w:szCs w:val="26"/>
        </w:rPr>
        <w:t xml:space="preserve">едено </w:t>
      </w:r>
      <w:r w:rsidR="00112316" w:rsidRPr="00D21623">
        <w:rPr>
          <w:color w:val="000099"/>
          <w:sz w:val="26"/>
          <w:szCs w:val="26"/>
        </w:rPr>
        <w:t xml:space="preserve">контрольное мероприятие </w:t>
      </w:r>
      <w:r w:rsidR="00CA5B12" w:rsidRPr="00D21623">
        <w:rPr>
          <w:color w:val="000099"/>
          <w:sz w:val="26"/>
          <w:szCs w:val="26"/>
        </w:rPr>
        <w:t>«</w:t>
      </w:r>
      <w:r w:rsidR="001559B7" w:rsidRPr="00D21623">
        <w:rPr>
          <w:color w:val="000099"/>
          <w:sz w:val="26"/>
          <w:szCs w:val="26"/>
        </w:rPr>
        <w:t>Проверка финансово-хозяйственной деятельности государственного унитарного предприятия Амурской области «Реабилитационно-технический центр по обслуживанию инвалидов» за 2022 год</w:t>
      </w:r>
      <w:r w:rsidR="00CA5B12" w:rsidRPr="00D21623">
        <w:rPr>
          <w:color w:val="000099"/>
          <w:sz w:val="26"/>
          <w:szCs w:val="26"/>
        </w:rPr>
        <w:t>»</w:t>
      </w:r>
      <w:r w:rsidR="006D7CEE" w:rsidRPr="00D21623">
        <w:rPr>
          <w:color w:val="000099"/>
          <w:sz w:val="26"/>
          <w:szCs w:val="26"/>
        </w:rPr>
        <w:t xml:space="preserve">. </w:t>
      </w:r>
    </w:p>
    <w:p w:rsidR="006D7CEE" w:rsidRPr="00D21623" w:rsidRDefault="006A48BA" w:rsidP="00D21623">
      <w:pPr>
        <w:spacing w:after="40"/>
        <w:ind w:firstLine="709"/>
        <w:jc w:val="both"/>
        <w:rPr>
          <w:color w:val="000099"/>
          <w:sz w:val="26"/>
          <w:szCs w:val="26"/>
        </w:rPr>
      </w:pPr>
      <w:r w:rsidRPr="00D21623">
        <w:rPr>
          <w:color w:val="000099"/>
          <w:sz w:val="26"/>
          <w:szCs w:val="26"/>
        </w:rPr>
        <w:t xml:space="preserve">По итогам контрольного мероприятия </w:t>
      </w:r>
      <w:r w:rsidR="009709E8" w:rsidRPr="00D21623">
        <w:rPr>
          <w:color w:val="000099"/>
          <w:sz w:val="26"/>
          <w:szCs w:val="26"/>
        </w:rPr>
        <w:t xml:space="preserve">в адрес </w:t>
      </w:r>
      <w:r w:rsidR="001559B7" w:rsidRPr="00D21623">
        <w:rPr>
          <w:color w:val="000099"/>
          <w:sz w:val="26"/>
          <w:szCs w:val="26"/>
        </w:rPr>
        <w:t>государственного унитарного предприятия Амурской области «Реабилитационно-технический центр по обслуживанию инвалидов»</w:t>
      </w:r>
      <w:r w:rsidR="009709E8" w:rsidRPr="00D21623">
        <w:rPr>
          <w:color w:val="000099"/>
          <w:sz w:val="26"/>
          <w:szCs w:val="26"/>
        </w:rPr>
        <w:t xml:space="preserve"> (далее – </w:t>
      </w:r>
      <w:r w:rsidR="001559B7" w:rsidRPr="00D21623">
        <w:rPr>
          <w:color w:val="000099"/>
          <w:sz w:val="26"/>
          <w:szCs w:val="26"/>
        </w:rPr>
        <w:t>Предприятие</w:t>
      </w:r>
      <w:r w:rsidR="009709E8" w:rsidRPr="00D21623">
        <w:rPr>
          <w:color w:val="000099"/>
          <w:sz w:val="26"/>
          <w:szCs w:val="26"/>
        </w:rPr>
        <w:t xml:space="preserve">) </w:t>
      </w:r>
      <w:r w:rsidR="001559B7" w:rsidRPr="00D21623">
        <w:rPr>
          <w:color w:val="000099"/>
          <w:sz w:val="26"/>
          <w:szCs w:val="26"/>
        </w:rPr>
        <w:t>направлено П</w:t>
      </w:r>
      <w:r w:rsidRPr="00D21623">
        <w:rPr>
          <w:color w:val="000099"/>
          <w:sz w:val="26"/>
          <w:szCs w:val="26"/>
        </w:rPr>
        <w:t>редставление</w:t>
      </w:r>
      <w:r w:rsidR="00F43776" w:rsidRPr="00D21623">
        <w:rPr>
          <w:color w:val="000099"/>
          <w:sz w:val="26"/>
          <w:szCs w:val="26"/>
        </w:rPr>
        <w:t>.</w:t>
      </w:r>
    </w:p>
    <w:p w:rsidR="00C055C2" w:rsidRPr="00D21623" w:rsidRDefault="00D21623" w:rsidP="00D21623">
      <w:pPr>
        <w:ind w:firstLine="709"/>
        <w:jc w:val="both"/>
        <w:rPr>
          <w:color w:val="000099"/>
          <w:sz w:val="26"/>
          <w:szCs w:val="26"/>
        </w:rPr>
      </w:pPr>
      <w:proofErr w:type="gramStart"/>
      <w:r w:rsidRPr="00D21623">
        <w:rPr>
          <w:color w:val="000099"/>
          <w:sz w:val="26"/>
          <w:szCs w:val="26"/>
        </w:rPr>
        <w:t>В адрес контрольно-счетной палаты Амурской области 08.11.2023</w:t>
      </w:r>
      <w:r w:rsidRPr="00D21623">
        <w:rPr>
          <w:color w:val="000099"/>
          <w:sz w:val="26"/>
          <w:szCs w:val="26"/>
        </w:rPr>
        <w:t xml:space="preserve"> </w:t>
      </w:r>
      <w:r w:rsidRPr="00D21623">
        <w:rPr>
          <w:color w:val="000099"/>
          <w:sz w:val="26"/>
          <w:szCs w:val="26"/>
        </w:rPr>
        <w:t xml:space="preserve">поступила информация </w:t>
      </w:r>
      <w:r w:rsidRPr="00D21623">
        <w:rPr>
          <w:color w:val="000099"/>
          <w:sz w:val="26"/>
          <w:szCs w:val="26"/>
        </w:rPr>
        <w:t>Предприятия</w:t>
      </w:r>
      <w:r w:rsidRPr="00D21623">
        <w:rPr>
          <w:color w:val="000099"/>
          <w:sz w:val="26"/>
          <w:szCs w:val="26"/>
        </w:rPr>
        <w:t xml:space="preserve"> об исполнении отдельных пунктов</w:t>
      </w:r>
      <w:r w:rsidRPr="00D21623">
        <w:rPr>
          <w:color w:val="000099"/>
          <w:sz w:val="26"/>
          <w:szCs w:val="26"/>
        </w:rPr>
        <w:t>,</w:t>
      </w:r>
      <w:r w:rsidRPr="00D21623">
        <w:rPr>
          <w:color w:val="000099"/>
          <w:sz w:val="26"/>
          <w:szCs w:val="26"/>
        </w:rPr>
        <w:t xml:space="preserve"> </w:t>
      </w:r>
      <w:r w:rsidRPr="00D21623">
        <w:rPr>
          <w:color w:val="000099"/>
          <w:sz w:val="26"/>
          <w:szCs w:val="26"/>
        </w:rPr>
        <w:t xml:space="preserve">согласно которой </w:t>
      </w:r>
      <w:r>
        <w:rPr>
          <w:color w:val="000099"/>
          <w:sz w:val="26"/>
          <w:szCs w:val="26"/>
        </w:rPr>
        <w:br/>
      </w:r>
      <w:r w:rsidR="001559B7" w:rsidRPr="00D21623">
        <w:rPr>
          <w:rFonts w:eastAsia="Calibri"/>
          <w:bCs/>
          <w:iCs/>
          <w:color w:val="000099"/>
          <w:sz w:val="26"/>
          <w:szCs w:val="26"/>
          <w:lang w:eastAsia="en-US"/>
        </w:rPr>
        <w:t xml:space="preserve">в целях устранения выявленных нарушений и недостатков и недопущения их </w:t>
      </w:r>
      <w:r>
        <w:rPr>
          <w:rFonts w:eastAsia="Calibri"/>
          <w:bCs/>
          <w:iCs/>
          <w:color w:val="000099"/>
          <w:sz w:val="26"/>
          <w:szCs w:val="26"/>
          <w:lang w:eastAsia="en-US"/>
        </w:rPr>
        <w:br/>
      </w:r>
      <w:r w:rsidR="001559B7" w:rsidRPr="00D21623">
        <w:rPr>
          <w:rFonts w:eastAsia="Calibri"/>
          <w:bCs/>
          <w:iCs/>
          <w:color w:val="000099"/>
          <w:sz w:val="26"/>
          <w:szCs w:val="26"/>
          <w:lang w:eastAsia="en-US"/>
        </w:rPr>
        <w:t>в дальнейшей работе Предприятием приняты следующие меры:</w:t>
      </w:r>
      <w:r w:rsidR="0063341B" w:rsidRPr="00D21623">
        <w:rPr>
          <w:rFonts w:eastAsia="Calibri"/>
          <w:bCs/>
          <w:iCs/>
          <w:color w:val="000099"/>
          <w:sz w:val="26"/>
          <w:szCs w:val="26"/>
          <w:lang w:eastAsia="en-US"/>
        </w:rPr>
        <w:t xml:space="preserve"> </w:t>
      </w:r>
      <w:r w:rsidR="00101E94" w:rsidRPr="00D21623">
        <w:rPr>
          <w:color w:val="000099"/>
          <w:sz w:val="26"/>
          <w:szCs w:val="26"/>
        </w:rPr>
        <w:t xml:space="preserve">проведена проверка обоснованности сумм, числящихся на счете </w:t>
      </w:r>
      <w:r w:rsidR="0063341B" w:rsidRPr="00D21623">
        <w:rPr>
          <w:color w:val="000099"/>
          <w:sz w:val="26"/>
          <w:szCs w:val="26"/>
        </w:rPr>
        <w:t xml:space="preserve">расчетов </w:t>
      </w:r>
      <w:r w:rsidR="00101E94" w:rsidRPr="00D21623">
        <w:rPr>
          <w:color w:val="000099"/>
          <w:sz w:val="26"/>
          <w:szCs w:val="26"/>
        </w:rPr>
        <w:t>с р</w:t>
      </w:r>
      <w:r w:rsidR="0063341B" w:rsidRPr="00D21623">
        <w:rPr>
          <w:color w:val="000099"/>
          <w:sz w:val="26"/>
          <w:szCs w:val="26"/>
        </w:rPr>
        <w:t xml:space="preserve">азными дебиторами </w:t>
      </w:r>
      <w:r>
        <w:rPr>
          <w:color w:val="000099"/>
          <w:sz w:val="26"/>
          <w:szCs w:val="26"/>
        </w:rPr>
        <w:br/>
      </w:r>
      <w:r w:rsidR="0063341B" w:rsidRPr="00D21623">
        <w:rPr>
          <w:color w:val="000099"/>
          <w:sz w:val="26"/>
          <w:szCs w:val="26"/>
        </w:rPr>
        <w:t xml:space="preserve">и кредиторами, </w:t>
      </w:r>
      <w:r w:rsidR="001E1B48" w:rsidRPr="00D21623">
        <w:rPr>
          <w:color w:val="000099"/>
          <w:sz w:val="26"/>
          <w:szCs w:val="26"/>
        </w:rPr>
        <w:t xml:space="preserve">в Учетную политику на 2023 год внесены необходимые изменения, </w:t>
      </w:r>
      <w:r w:rsidR="001A754B" w:rsidRPr="00D21623">
        <w:rPr>
          <w:rFonts w:eastAsia="Calibri"/>
          <w:color w:val="000099"/>
          <w:sz w:val="26"/>
          <w:szCs w:val="26"/>
          <w:lang w:eastAsia="en-US"/>
        </w:rPr>
        <w:t xml:space="preserve">произведен </w:t>
      </w:r>
      <w:r w:rsidR="001A754B" w:rsidRPr="00D21623">
        <w:rPr>
          <w:bCs/>
          <w:iCs/>
          <w:color w:val="000099"/>
          <w:sz w:val="26"/>
          <w:szCs w:val="26"/>
        </w:rPr>
        <w:t>пересмотр состава основных средств</w:t>
      </w:r>
      <w:proofErr w:type="gramEnd"/>
      <w:r w:rsidR="001A754B" w:rsidRPr="00D21623">
        <w:rPr>
          <w:bCs/>
          <w:iCs/>
          <w:color w:val="000099"/>
          <w:sz w:val="26"/>
          <w:szCs w:val="26"/>
        </w:rPr>
        <w:t xml:space="preserve">, </w:t>
      </w:r>
      <w:r w:rsidR="0063341B" w:rsidRPr="00D21623">
        <w:rPr>
          <w:rFonts w:eastAsia="Calibri"/>
          <w:color w:val="000099"/>
          <w:sz w:val="26"/>
          <w:szCs w:val="26"/>
          <w:lang w:eastAsia="en-US"/>
        </w:rPr>
        <w:t xml:space="preserve">согласно </w:t>
      </w:r>
      <w:r w:rsidR="00C055C2" w:rsidRPr="00D21623">
        <w:rPr>
          <w:rFonts w:eastAsia="Calibri"/>
          <w:color w:val="000099"/>
          <w:sz w:val="26"/>
          <w:szCs w:val="26"/>
          <w:lang w:eastAsia="en-US"/>
        </w:rPr>
        <w:t xml:space="preserve">требованиям ФСБУ 6/2020 «Основные средства», </w:t>
      </w:r>
      <w:r w:rsidR="00C055C2" w:rsidRPr="00D21623">
        <w:rPr>
          <w:color w:val="000099"/>
          <w:sz w:val="26"/>
          <w:szCs w:val="26"/>
        </w:rPr>
        <w:t>разработан план мероприятий, направл</w:t>
      </w:r>
      <w:r w:rsidR="0063341B" w:rsidRPr="00D21623">
        <w:rPr>
          <w:color w:val="000099"/>
          <w:sz w:val="26"/>
          <w:szCs w:val="26"/>
        </w:rPr>
        <w:t xml:space="preserve">енных на устранение выявленных </w:t>
      </w:r>
      <w:r w:rsidR="00C055C2" w:rsidRPr="00D21623">
        <w:rPr>
          <w:color w:val="000099"/>
          <w:sz w:val="26"/>
          <w:szCs w:val="26"/>
        </w:rPr>
        <w:t>в ходе контрольного мероприятия нарушений и недостатков, а также причин и условий их возникновения.</w:t>
      </w:r>
    </w:p>
    <w:p w:rsidR="0063341B" w:rsidRPr="00D21623" w:rsidRDefault="00D21623" w:rsidP="00D21623">
      <w:pPr>
        <w:ind w:firstLine="709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Принятие мер по</w:t>
      </w:r>
      <w:r w:rsidR="00A32673">
        <w:rPr>
          <w:color w:val="000099"/>
          <w:sz w:val="26"/>
          <w:szCs w:val="26"/>
        </w:rPr>
        <w:t xml:space="preserve"> отдельным</w:t>
      </w:r>
      <w:r>
        <w:rPr>
          <w:color w:val="000099"/>
          <w:sz w:val="26"/>
          <w:szCs w:val="26"/>
        </w:rPr>
        <w:t xml:space="preserve"> пунктам П</w:t>
      </w:r>
      <w:r w:rsidR="0063341B" w:rsidRPr="00D21623">
        <w:rPr>
          <w:color w:val="000099"/>
          <w:sz w:val="26"/>
          <w:szCs w:val="26"/>
        </w:rPr>
        <w:t>редставления остается на контроле.</w:t>
      </w: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  <w:bookmarkStart w:id="0" w:name="_GoBack"/>
      <w:bookmarkEnd w:id="0"/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Pr="00F8446D" w:rsidRDefault="0063341B" w:rsidP="0063341B">
      <w:pPr>
        <w:spacing w:after="40"/>
        <w:ind w:firstLine="709"/>
        <w:jc w:val="both"/>
        <w:rPr>
          <w:color w:val="000099"/>
          <w:sz w:val="24"/>
        </w:rPr>
      </w:pPr>
    </w:p>
    <w:p w:rsidR="0063341B" w:rsidRPr="00F8446D" w:rsidRDefault="0063341B" w:rsidP="0063341B">
      <w:pPr>
        <w:spacing w:after="40"/>
        <w:ind w:firstLine="709"/>
        <w:jc w:val="both"/>
        <w:rPr>
          <w:color w:val="000099"/>
          <w:sz w:val="24"/>
          <w:szCs w:val="24"/>
        </w:rPr>
      </w:pPr>
    </w:p>
    <w:p w:rsidR="0063341B" w:rsidRPr="00F8446D" w:rsidRDefault="0063341B" w:rsidP="0063341B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Pr="00F8446D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sectPr w:rsidR="0063341B" w:rsidRPr="00F8446D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12" w:rsidRDefault="00806B12">
      <w:r>
        <w:separator/>
      </w:r>
    </w:p>
  </w:endnote>
  <w:endnote w:type="continuationSeparator" w:id="0">
    <w:p w:rsidR="00806B12" w:rsidRDefault="0080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12" w:rsidRDefault="00806B12">
      <w:r>
        <w:separator/>
      </w:r>
    </w:p>
  </w:footnote>
  <w:footnote w:type="continuationSeparator" w:id="0">
    <w:p w:rsidR="00806B12" w:rsidRDefault="0080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623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2435C"/>
    <w:multiLevelType w:val="hybridMultilevel"/>
    <w:tmpl w:val="3CD4244E"/>
    <w:lvl w:ilvl="0" w:tplc="E6481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1268F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1E94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59B7"/>
    <w:rsid w:val="001663AB"/>
    <w:rsid w:val="001809EF"/>
    <w:rsid w:val="0018297E"/>
    <w:rsid w:val="00182E70"/>
    <w:rsid w:val="00195C28"/>
    <w:rsid w:val="001A3F26"/>
    <w:rsid w:val="001A754B"/>
    <w:rsid w:val="001C3EB1"/>
    <w:rsid w:val="001E1B48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5B68"/>
    <w:rsid w:val="002A6666"/>
    <w:rsid w:val="002B005D"/>
    <w:rsid w:val="002D443F"/>
    <w:rsid w:val="002E277A"/>
    <w:rsid w:val="00300D3A"/>
    <w:rsid w:val="00311781"/>
    <w:rsid w:val="003251D6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1476"/>
    <w:rsid w:val="003B3B61"/>
    <w:rsid w:val="003B7268"/>
    <w:rsid w:val="003B741C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41B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06B12"/>
    <w:rsid w:val="00821D17"/>
    <w:rsid w:val="0083067B"/>
    <w:rsid w:val="00837289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709E8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2673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1571"/>
    <w:rsid w:val="00BE2449"/>
    <w:rsid w:val="00BE74F9"/>
    <w:rsid w:val="00BF4A1E"/>
    <w:rsid w:val="00C055C2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5B12"/>
    <w:rsid w:val="00CA63F1"/>
    <w:rsid w:val="00CB1403"/>
    <w:rsid w:val="00CC4A4C"/>
    <w:rsid w:val="00CC73C6"/>
    <w:rsid w:val="00CD1D64"/>
    <w:rsid w:val="00CD3CAE"/>
    <w:rsid w:val="00CD5972"/>
    <w:rsid w:val="00CE0802"/>
    <w:rsid w:val="00CE1175"/>
    <w:rsid w:val="00CE35B6"/>
    <w:rsid w:val="00CE6133"/>
    <w:rsid w:val="00CE756E"/>
    <w:rsid w:val="00D01FF1"/>
    <w:rsid w:val="00D026AD"/>
    <w:rsid w:val="00D12E02"/>
    <w:rsid w:val="00D21623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B6B3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73535"/>
    <w:rsid w:val="00E86B70"/>
    <w:rsid w:val="00E94F6B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446D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B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9</cp:revision>
  <cp:lastPrinted>2023-11-09T02:55:00Z</cp:lastPrinted>
  <dcterms:created xsi:type="dcterms:W3CDTF">2023-09-11T05:48:00Z</dcterms:created>
  <dcterms:modified xsi:type="dcterms:W3CDTF">2023-11-09T02:56:00Z</dcterms:modified>
</cp:coreProperties>
</file>