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theme/themeOverride16.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1F" w:rsidRPr="00F13BFE" w:rsidRDefault="00A06F99" w:rsidP="00FA3E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Контрольно-счетной палатой</w:t>
      </w:r>
      <w:r w:rsidRPr="00A06F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Амурской области </w:t>
      </w:r>
      <w:r w:rsidRPr="00F13BFE">
        <w:rPr>
          <w:rFonts w:ascii="Times New Roman" w:eastAsia="Times New Roman" w:hAnsi="Times New Roman" w:cs="Times New Roman"/>
          <w:sz w:val="24"/>
          <w:szCs w:val="24"/>
          <w:lang w:eastAsia="ru-RU"/>
        </w:rPr>
        <w:t xml:space="preserve">подготовлено </w:t>
      </w:r>
      <w:r>
        <w:rPr>
          <w:rFonts w:ascii="Times New Roman" w:eastAsia="Times New Roman" w:hAnsi="Times New Roman" w:cs="Times New Roman"/>
          <w:sz w:val="24"/>
          <w:szCs w:val="24"/>
          <w:lang w:eastAsia="ru-RU"/>
        </w:rPr>
        <w:t>з</w:t>
      </w:r>
      <w:r w:rsidR="00FA3E1F" w:rsidRPr="00F13BFE">
        <w:rPr>
          <w:rFonts w:ascii="Times New Roman" w:eastAsia="Times New Roman" w:hAnsi="Times New Roman" w:cs="Times New Roman"/>
          <w:sz w:val="24"/>
          <w:szCs w:val="24"/>
          <w:lang w:eastAsia="ru-RU"/>
        </w:rPr>
        <w:t>аключение на проект закона Амурской области «Об исполнении областного бюджета за 201</w:t>
      </w:r>
      <w:r w:rsidR="00FA3E1F">
        <w:rPr>
          <w:rFonts w:ascii="Times New Roman" w:eastAsia="Times New Roman" w:hAnsi="Times New Roman" w:cs="Times New Roman"/>
          <w:sz w:val="24"/>
          <w:szCs w:val="24"/>
          <w:lang w:eastAsia="ru-RU"/>
        </w:rPr>
        <w:t>3</w:t>
      </w:r>
      <w:r w:rsidR="00FA3E1F" w:rsidRPr="00F13BFE">
        <w:rPr>
          <w:rFonts w:ascii="Times New Roman" w:eastAsia="Times New Roman" w:hAnsi="Times New Roman" w:cs="Times New Roman"/>
          <w:sz w:val="24"/>
          <w:szCs w:val="24"/>
          <w:lang w:eastAsia="ru-RU"/>
        </w:rPr>
        <w:t xml:space="preserve"> год» на основании результатов проверки годового отчета об исполнении областного бюджета за 201</w:t>
      </w:r>
      <w:r w:rsidR="00FA3E1F">
        <w:rPr>
          <w:rFonts w:ascii="Times New Roman" w:eastAsia="Times New Roman" w:hAnsi="Times New Roman" w:cs="Times New Roman"/>
          <w:sz w:val="24"/>
          <w:szCs w:val="24"/>
          <w:lang w:eastAsia="ru-RU"/>
        </w:rPr>
        <w:t>3</w:t>
      </w:r>
      <w:r w:rsidR="00FA3E1F" w:rsidRPr="00F13BFE">
        <w:rPr>
          <w:rFonts w:ascii="Times New Roman" w:eastAsia="Times New Roman" w:hAnsi="Times New Roman" w:cs="Times New Roman"/>
          <w:sz w:val="24"/>
          <w:szCs w:val="24"/>
          <w:lang w:eastAsia="ru-RU"/>
        </w:rPr>
        <w:t xml:space="preserve"> год, проведенной в соответствии с Бюджетным кодексом Российской Федерации (статья 264.4), Уставом (основным Законом) Амурской области (статья 38), Законом Амурской области «О бюджетном процессе в Амурской области» (статья 16), Законом</w:t>
      </w:r>
      <w:proofErr w:type="gramEnd"/>
      <w:r w:rsidR="00FA3E1F" w:rsidRPr="00F13BFE">
        <w:rPr>
          <w:rFonts w:ascii="Times New Roman" w:eastAsia="Times New Roman" w:hAnsi="Times New Roman" w:cs="Times New Roman"/>
          <w:sz w:val="24"/>
          <w:szCs w:val="24"/>
          <w:lang w:eastAsia="ru-RU"/>
        </w:rPr>
        <w:t xml:space="preserve"> Амурской области «О контрольно-счетной палате Амурской области» (статья 9) и планом работы контрольно-счетной палаты Амурской области на 201</w:t>
      </w:r>
      <w:r w:rsidR="00FA3E1F">
        <w:rPr>
          <w:rFonts w:ascii="Times New Roman" w:eastAsia="Times New Roman" w:hAnsi="Times New Roman" w:cs="Times New Roman"/>
          <w:sz w:val="24"/>
          <w:szCs w:val="24"/>
          <w:lang w:eastAsia="ru-RU"/>
        </w:rPr>
        <w:t>4</w:t>
      </w:r>
      <w:r w:rsidR="00FA3E1F" w:rsidRPr="00F13BFE">
        <w:rPr>
          <w:rFonts w:ascii="Times New Roman" w:eastAsia="Times New Roman" w:hAnsi="Times New Roman" w:cs="Times New Roman"/>
          <w:sz w:val="24"/>
          <w:szCs w:val="24"/>
          <w:lang w:eastAsia="ru-RU"/>
        </w:rPr>
        <w:t xml:space="preserve"> год (пункт 1.</w:t>
      </w:r>
      <w:r w:rsidR="00FA3E1F">
        <w:rPr>
          <w:rFonts w:ascii="Times New Roman" w:eastAsia="Times New Roman" w:hAnsi="Times New Roman" w:cs="Times New Roman"/>
          <w:sz w:val="24"/>
          <w:szCs w:val="24"/>
          <w:lang w:eastAsia="ru-RU"/>
        </w:rPr>
        <w:t>7</w:t>
      </w:r>
      <w:r w:rsidR="00FA3E1F" w:rsidRPr="00F13BFE">
        <w:rPr>
          <w:rFonts w:ascii="Times New Roman" w:eastAsia="Times New Roman" w:hAnsi="Times New Roman" w:cs="Times New Roman"/>
          <w:sz w:val="24"/>
          <w:szCs w:val="24"/>
          <w:lang w:eastAsia="ru-RU"/>
        </w:rPr>
        <w:t>), утвержденным решением коллегии контрольно-счет</w:t>
      </w:r>
      <w:r w:rsidR="00FA3E1F">
        <w:rPr>
          <w:rFonts w:ascii="Times New Roman" w:eastAsia="Times New Roman" w:hAnsi="Times New Roman" w:cs="Times New Roman"/>
          <w:sz w:val="24"/>
          <w:szCs w:val="24"/>
          <w:lang w:eastAsia="ru-RU"/>
        </w:rPr>
        <w:t>ной палаты Амурской области от 26</w:t>
      </w:r>
      <w:r w:rsidR="00FA3E1F" w:rsidRPr="00F13BFE">
        <w:rPr>
          <w:rFonts w:ascii="Times New Roman" w:eastAsia="Times New Roman" w:hAnsi="Times New Roman" w:cs="Times New Roman"/>
          <w:sz w:val="24"/>
          <w:szCs w:val="24"/>
          <w:lang w:eastAsia="ru-RU"/>
        </w:rPr>
        <w:t>.12.201</w:t>
      </w:r>
      <w:r w:rsidR="00FA3E1F">
        <w:rPr>
          <w:rFonts w:ascii="Times New Roman" w:eastAsia="Times New Roman" w:hAnsi="Times New Roman" w:cs="Times New Roman"/>
          <w:sz w:val="24"/>
          <w:szCs w:val="24"/>
          <w:lang w:eastAsia="ru-RU"/>
        </w:rPr>
        <w:t>3</w:t>
      </w:r>
      <w:r w:rsidR="00FA3E1F" w:rsidRPr="00F13BFE">
        <w:rPr>
          <w:rFonts w:ascii="Times New Roman" w:eastAsia="Times New Roman" w:hAnsi="Times New Roman" w:cs="Times New Roman"/>
          <w:sz w:val="24"/>
          <w:szCs w:val="24"/>
          <w:lang w:eastAsia="ru-RU"/>
        </w:rPr>
        <w:t>.</w:t>
      </w:r>
    </w:p>
    <w:p w:rsidR="00425460" w:rsidRPr="00960C1A" w:rsidRDefault="00425460" w:rsidP="0042546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0" w:name="_Toc105524204"/>
      <w:bookmarkStart w:id="1" w:name="_Toc74237355"/>
      <w:bookmarkStart w:id="2" w:name="_Toc105568799"/>
      <w:r w:rsidRPr="00960C1A">
        <w:rPr>
          <w:rFonts w:ascii="Times New Roman" w:eastAsia="Times New Roman" w:hAnsi="Times New Roman" w:cs="Times New Roman"/>
          <w:b/>
          <w:sz w:val="24"/>
          <w:szCs w:val="24"/>
          <w:lang w:eastAsia="ru-RU"/>
        </w:rPr>
        <w:t>1.Макроэкономические условия исполнения областного бюджета в 201</w:t>
      </w:r>
      <w:r>
        <w:rPr>
          <w:rFonts w:ascii="Times New Roman" w:eastAsia="Times New Roman" w:hAnsi="Times New Roman" w:cs="Times New Roman"/>
          <w:b/>
          <w:sz w:val="24"/>
          <w:szCs w:val="24"/>
          <w:lang w:eastAsia="ru-RU"/>
        </w:rPr>
        <w:t>3</w:t>
      </w:r>
      <w:r w:rsidRPr="00960C1A">
        <w:rPr>
          <w:rFonts w:ascii="Times New Roman" w:eastAsia="Times New Roman" w:hAnsi="Times New Roman" w:cs="Times New Roman"/>
          <w:b/>
          <w:sz w:val="24"/>
          <w:szCs w:val="24"/>
          <w:lang w:eastAsia="ru-RU"/>
        </w:rPr>
        <w:t xml:space="preserve"> году</w:t>
      </w:r>
    </w:p>
    <w:p w:rsidR="00425460" w:rsidRPr="00425460" w:rsidRDefault="00425460" w:rsidP="00425460">
      <w:pPr>
        <w:spacing w:after="0" w:line="240" w:lineRule="auto"/>
        <w:ind w:firstLine="709"/>
        <w:jc w:val="both"/>
        <w:rPr>
          <w:rFonts w:ascii="Times New Roman" w:eastAsia="Times New Roman" w:hAnsi="Times New Roman" w:cs="Times New Roman"/>
          <w:sz w:val="24"/>
          <w:szCs w:val="24"/>
          <w:lang w:eastAsia="ru-RU"/>
        </w:rPr>
      </w:pPr>
      <w:r w:rsidRPr="00425460">
        <w:rPr>
          <w:rFonts w:ascii="Times New Roman" w:eastAsia="Times New Roman" w:hAnsi="Times New Roman" w:cs="Times New Roman"/>
          <w:sz w:val="24"/>
          <w:szCs w:val="24"/>
          <w:lang w:eastAsia="ru-RU"/>
        </w:rPr>
        <w:t>В 2013 году впервые за много лет естественная убыль сменилась естественным приростом населения, составившим 133 человека. Однако это не компенсировало миграционный отток, и, по оценке Территориального органа Федеральной службы государственной статистики по Амурской области, численность постоянного населения сократилась по сравнению с прошлым годом на 5,6 тыс. человек и по состоянию на 01.01.2014 составила 811,3 тыс. человек.</w:t>
      </w:r>
    </w:p>
    <w:p w:rsidR="00425460" w:rsidRDefault="00425460" w:rsidP="00425460">
      <w:pPr>
        <w:spacing w:after="0" w:line="240" w:lineRule="auto"/>
        <w:ind w:firstLine="709"/>
        <w:jc w:val="both"/>
        <w:rPr>
          <w:rFonts w:ascii="Times New Roman" w:eastAsia="Times New Roman" w:hAnsi="Times New Roman" w:cs="Times New Roman"/>
          <w:sz w:val="24"/>
          <w:szCs w:val="24"/>
          <w:lang w:eastAsia="ru-RU"/>
        </w:rPr>
      </w:pPr>
      <w:r w:rsidRPr="00425460">
        <w:rPr>
          <w:rFonts w:ascii="Times New Roman" w:eastAsia="Times New Roman" w:hAnsi="Times New Roman" w:cs="Times New Roman"/>
          <w:sz w:val="24"/>
          <w:szCs w:val="24"/>
          <w:lang w:eastAsia="ru-RU"/>
        </w:rPr>
        <w:t>Положительными явлениями 2013 года являются снижение доли населения с доходами ниже прожиточного минимума на 0,3 процента относительно прошлого года (рисунок 1) на фоне роста денежных доходов на душу населения на 2,4 тыс. рублей и реальной начисленной заработной платы на одного работника на 6,5 процента.</w:t>
      </w:r>
    </w:p>
    <w:p w:rsidR="00CB47B6" w:rsidRPr="00425460" w:rsidRDefault="00CB47B6" w:rsidP="00425460">
      <w:pPr>
        <w:spacing w:after="0" w:line="240" w:lineRule="auto"/>
        <w:ind w:firstLine="709"/>
        <w:jc w:val="both"/>
        <w:rPr>
          <w:rFonts w:ascii="Times New Roman" w:eastAsia="Times New Roman" w:hAnsi="Times New Roman" w:cs="Times New Roman"/>
          <w:sz w:val="24"/>
          <w:szCs w:val="24"/>
          <w:lang w:eastAsia="ru-RU"/>
        </w:rPr>
      </w:pPr>
    </w:p>
    <w:p w:rsidR="00425460" w:rsidRDefault="00425460" w:rsidP="00425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2ABD">
        <w:rPr>
          <w:rFonts w:ascii="Times New Roman" w:eastAsia="Times New Roman" w:hAnsi="Times New Roman" w:cs="Times New Roman"/>
          <w:noProof/>
          <w:sz w:val="24"/>
          <w:szCs w:val="24"/>
          <w:shd w:val="clear" w:color="auto" w:fill="92D050"/>
          <w:lang w:eastAsia="ru-RU"/>
        </w:rPr>
        <w:drawing>
          <wp:inline distT="0" distB="0" distL="0" distR="0" wp14:anchorId="79BE4CF8" wp14:editId="149BC540">
            <wp:extent cx="6315075" cy="34861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5460" w:rsidRPr="00F07011" w:rsidRDefault="00425460" w:rsidP="00425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7011">
        <w:rPr>
          <w:rFonts w:ascii="Times New Roman" w:eastAsia="Times New Roman" w:hAnsi="Times New Roman" w:cs="Times New Roman"/>
          <w:b/>
          <w:sz w:val="24"/>
          <w:szCs w:val="24"/>
          <w:lang w:eastAsia="ru-RU"/>
        </w:rPr>
        <w:t xml:space="preserve">Рис. </w:t>
      </w:r>
      <w:r>
        <w:rPr>
          <w:rFonts w:ascii="Times New Roman" w:eastAsia="Times New Roman" w:hAnsi="Times New Roman" w:cs="Times New Roman"/>
          <w:b/>
          <w:sz w:val="24"/>
          <w:szCs w:val="24"/>
          <w:lang w:eastAsia="ru-RU"/>
        </w:rPr>
        <w:t>1</w:t>
      </w:r>
      <w:r w:rsidRPr="00F07011">
        <w:rPr>
          <w:rFonts w:ascii="Times New Roman" w:eastAsia="Times New Roman" w:hAnsi="Times New Roman" w:cs="Times New Roman"/>
          <w:b/>
          <w:sz w:val="24"/>
          <w:szCs w:val="24"/>
          <w:lang w:eastAsia="ru-RU"/>
        </w:rPr>
        <w:t xml:space="preserve"> - Денежные доходы в среднем на душу населения в месяц, величина прожиточного минимума и доля населения с доходами ниже прожиточного минимума в Амурской области в 2010-2013 годах</w:t>
      </w:r>
    </w:p>
    <w:p w:rsidR="00425460" w:rsidRDefault="00425460" w:rsidP="00425460">
      <w:pPr>
        <w:spacing w:after="0" w:line="240" w:lineRule="auto"/>
        <w:ind w:firstLine="709"/>
        <w:jc w:val="both"/>
        <w:rPr>
          <w:rFonts w:ascii="Times New Roman" w:eastAsia="Times New Roman" w:hAnsi="Times New Roman" w:cs="Times New Roman"/>
          <w:sz w:val="24"/>
          <w:szCs w:val="24"/>
          <w:lang w:eastAsia="ru-RU"/>
        </w:rPr>
      </w:pPr>
    </w:p>
    <w:p w:rsidR="00425460" w:rsidRPr="00425460" w:rsidRDefault="00425460" w:rsidP="00425460">
      <w:pPr>
        <w:spacing w:after="0" w:line="240" w:lineRule="auto"/>
        <w:ind w:firstLine="709"/>
        <w:jc w:val="both"/>
        <w:rPr>
          <w:rFonts w:ascii="Times New Roman" w:eastAsia="Times New Roman" w:hAnsi="Times New Roman" w:cs="Times New Roman"/>
          <w:sz w:val="24"/>
          <w:szCs w:val="24"/>
          <w:lang w:eastAsia="ru-RU"/>
        </w:rPr>
      </w:pPr>
      <w:r w:rsidRPr="00425460">
        <w:rPr>
          <w:rFonts w:ascii="Times New Roman" w:eastAsia="Times New Roman" w:hAnsi="Times New Roman" w:cs="Times New Roman"/>
          <w:sz w:val="24"/>
          <w:szCs w:val="24"/>
          <w:lang w:eastAsia="ru-RU"/>
        </w:rPr>
        <w:t xml:space="preserve">Второй год подряд индекс физического объема валового регионального продукта (рисунок 2) ниже уровня предыдущего года. Так в 2013 году этот показатель составил </w:t>
      </w:r>
      <w:r>
        <w:rPr>
          <w:rFonts w:ascii="Times New Roman" w:eastAsia="Times New Roman" w:hAnsi="Times New Roman" w:cs="Times New Roman"/>
          <w:sz w:val="24"/>
          <w:szCs w:val="24"/>
          <w:lang w:eastAsia="ru-RU"/>
        </w:rPr>
        <w:br/>
      </w:r>
      <w:r w:rsidRPr="00425460">
        <w:rPr>
          <w:rFonts w:ascii="Times New Roman" w:eastAsia="Times New Roman" w:hAnsi="Times New Roman" w:cs="Times New Roman"/>
          <w:sz w:val="24"/>
          <w:szCs w:val="24"/>
          <w:lang w:eastAsia="ru-RU"/>
        </w:rPr>
        <w:t xml:space="preserve">98,5 процента, </w:t>
      </w:r>
      <w:r w:rsidR="00CB47B6">
        <w:rPr>
          <w:rFonts w:ascii="Times New Roman" w:eastAsia="Times New Roman" w:hAnsi="Times New Roman" w:cs="Times New Roman"/>
          <w:sz w:val="24"/>
          <w:szCs w:val="24"/>
          <w:lang w:eastAsia="ru-RU"/>
        </w:rPr>
        <w:t>а в 2012 году – 97,3 процента.</w:t>
      </w:r>
    </w:p>
    <w:p w:rsidR="00425460" w:rsidRPr="00B4652C" w:rsidRDefault="00425460" w:rsidP="0042546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lastRenderedPageBreak/>
        <w:drawing>
          <wp:inline distT="0" distB="0" distL="0" distR="0" wp14:anchorId="36EAE52B" wp14:editId="6C666FF2">
            <wp:extent cx="6419850" cy="25527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5460" w:rsidRPr="00E14F82" w:rsidRDefault="00425460" w:rsidP="00425460">
      <w:pPr>
        <w:widowControl w:val="0"/>
        <w:autoSpaceDE w:val="0"/>
        <w:autoSpaceDN w:val="0"/>
        <w:adjustRightInd w:val="0"/>
        <w:spacing w:after="0"/>
        <w:jc w:val="center"/>
        <w:rPr>
          <w:rFonts w:ascii="Times New Roman" w:eastAsia="Times New Roman" w:hAnsi="Times New Roman" w:cs="Times New Roman"/>
          <w:b/>
          <w:sz w:val="24"/>
          <w:szCs w:val="20"/>
          <w:lang w:eastAsia="ru-RU"/>
        </w:rPr>
      </w:pPr>
      <w:r w:rsidRPr="00E14F82">
        <w:rPr>
          <w:rFonts w:ascii="Times New Roman" w:eastAsia="Times New Roman" w:hAnsi="Times New Roman" w:cs="Times New Roman"/>
          <w:b/>
          <w:sz w:val="24"/>
          <w:szCs w:val="20"/>
          <w:lang w:eastAsia="ru-RU"/>
        </w:rPr>
        <w:t xml:space="preserve">Рис. </w:t>
      </w:r>
      <w:r>
        <w:rPr>
          <w:rFonts w:ascii="Times New Roman" w:eastAsia="Times New Roman" w:hAnsi="Times New Roman" w:cs="Times New Roman"/>
          <w:b/>
          <w:sz w:val="24"/>
          <w:szCs w:val="20"/>
          <w:lang w:eastAsia="ru-RU"/>
        </w:rPr>
        <w:t>2</w:t>
      </w:r>
      <w:r w:rsidRPr="00E14F82">
        <w:rPr>
          <w:rFonts w:ascii="Times New Roman" w:eastAsia="Times New Roman" w:hAnsi="Times New Roman" w:cs="Times New Roman"/>
          <w:b/>
          <w:sz w:val="24"/>
          <w:szCs w:val="20"/>
          <w:lang w:eastAsia="ru-RU"/>
        </w:rPr>
        <w:t xml:space="preserve"> –Динамика индекса </w:t>
      </w:r>
      <w:r>
        <w:rPr>
          <w:rFonts w:ascii="Times New Roman" w:eastAsia="Times New Roman" w:hAnsi="Times New Roman" w:cs="Times New Roman"/>
          <w:b/>
          <w:sz w:val="24"/>
          <w:szCs w:val="20"/>
          <w:lang w:eastAsia="ru-RU"/>
        </w:rPr>
        <w:t xml:space="preserve">физического объема </w:t>
      </w:r>
      <w:r w:rsidRPr="00E14F82">
        <w:rPr>
          <w:rFonts w:ascii="Times New Roman" w:eastAsia="Times New Roman" w:hAnsi="Times New Roman" w:cs="Times New Roman"/>
          <w:b/>
          <w:sz w:val="24"/>
          <w:szCs w:val="20"/>
          <w:lang w:eastAsia="ru-RU"/>
        </w:rPr>
        <w:t>валового регионального продукта Амурской области</w:t>
      </w:r>
      <w:r>
        <w:rPr>
          <w:rFonts w:ascii="Times New Roman" w:eastAsia="Times New Roman" w:hAnsi="Times New Roman" w:cs="Times New Roman"/>
          <w:b/>
          <w:sz w:val="24"/>
          <w:szCs w:val="20"/>
          <w:lang w:eastAsia="ru-RU"/>
        </w:rPr>
        <w:t>, процентов</w:t>
      </w:r>
      <w:r w:rsidRPr="00E14F82">
        <w:rPr>
          <w:rFonts w:ascii="Times New Roman" w:eastAsia="Times New Roman" w:hAnsi="Times New Roman" w:cs="Times New Roman"/>
          <w:b/>
          <w:sz w:val="24"/>
          <w:szCs w:val="20"/>
          <w:lang w:eastAsia="ru-RU"/>
        </w:rPr>
        <w:t xml:space="preserve"> </w:t>
      </w:r>
    </w:p>
    <w:p w:rsidR="00425460" w:rsidRPr="00425460" w:rsidRDefault="00425460" w:rsidP="00425460">
      <w:pPr>
        <w:spacing w:after="0" w:line="240" w:lineRule="auto"/>
        <w:ind w:firstLine="709"/>
        <w:jc w:val="both"/>
        <w:rPr>
          <w:rFonts w:ascii="Times New Roman" w:eastAsia="Times New Roman" w:hAnsi="Times New Roman" w:cs="Times New Roman"/>
          <w:sz w:val="24"/>
          <w:szCs w:val="24"/>
          <w:lang w:eastAsia="ru-RU"/>
        </w:rPr>
      </w:pPr>
      <w:r w:rsidRPr="00425460">
        <w:rPr>
          <w:rFonts w:ascii="Times New Roman" w:eastAsia="Times New Roman" w:hAnsi="Times New Roman" w:cs="Times New Roman"/>
          <w:sz w:val="24"/>
          <w:szCs w:val="24"/>
          <w:lang w:eastAsia="ru-RU"/>
        </w:rPr>
        <w:t>На изменение валового регионального продукта Амурской области наиболее значительное влияние оказывают добыча полезных ископаемых, обрабатывающие производства, производство и распределение электроэнергии, газа и воды, строительство, оптовая и розничная торговля, транспорт и связь, а также сельское хозяйство, охота и лесное хозяйство.</w:t>
      </w:r>
    </w:p>
    <w:p w:rsidR="00425460" w:rsidRPr="00425460" w:rsidRDefault="00425460" w:rsidP="00425460">
      <w:pPr>
        <w:spacing w:after="0" w:line="240" w:lineRule="auto"/>
        <w:ind w:firstLine="709"/>
        <w:jc w:val="both"/>
        <w:rPr>
          <w:rFonts w:ascii="Times New Roman" w:eastAsia="Times New Roman" w:hAnsi="Times New Roman" w:cs="Times New Roman"/>
          <w:sz w:val="24"/>
          <w:szCs w:val="24"/>
          <w:lang w:eastAsia="ru-RU"/>
        </w:rPr>
      </w:pPr>
      <w:r w:rsidRPr="00425460">
        <w:rPr>
          <w:rFonts w:ascii="Times New Roman" w:eastAsia="Times New Roman" w:hAnsi="Times New Roman" w:cs="Times New Roman"/>
          <w:sz w:val="24"/>
          <w:szCs w:val="24"/>
          <w:lang w:eastAsia="ru-RU"/>
        </w:rPr>
        <w:t>Индекс промышленного производства, агрегировано отражающий изменение масштабов производства по видам деятельности «Добыча полезных ископаемых», «Обрабатывающие производства», «Производство и распределение электроэнергии, газа и воды», за 2013 год по отношению к 2012 году составил 105,4 процента (рис.3), что на 5,0 процентов выше уровня аналогичного показателя в целом по России (100,4 процента).</w:t>
      </w:r>
    </w:p>
    <w:p w:rsidR="00425460" w:rsidRPr="00960C1A" w:rsidRDefault="00425460" w:rsidP="0042546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960C1A">
        <w:rPr>
          <w:rFonts w:ascii="Times New Roman" w:eastAsia="Times New Roman" w:hAnsi="Times New Roman" w:cs="Times New Roman"/>
          <w:noProof/>
          <w:color w:val="FF0000"/>
          <w:sz w:val="20"/>
          <w:szCs w:val="20"/>
          <w:lang w:eastAsia="ru-RU"/>
        </w:rPr>
        <w:drawing>
          <wp:inline distT="0" distB="0" distL="0" distR="0" wp14:anchorId="30E18223" wp14:editId="564A4FDB">
            <wp:extent cx="6019800" cy="2914650"/>
            <wp:effectExtent l="0" t="0" r="0" b="0"/>
            <wp:docPr id="3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5460" w:rsidRPr="005D2333" w:rsidRDefault="00425460" w:rsidP="00425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 3</w:t>
      </w:r>
      <w:r w:rsidRPr="005D2333">
        <w:rPr>
          <w:rFonts w:ascii="Times New Roman" w:eastAsia="Times New Roman" w:hAnsi="Times New Roman" w:cs="Times New Roman"/>
          <w:b/>
          <w:sz w:val="24"/>
          <w:szCs w:val="24"/>
          <w:lang w:eastAsia="ru-RU"/>
        </w:rPr>
        <w:t xml:space="preserve">– Динамика индекса производства по основным видам деятельности </w:t>
      </w:r>
      <w:r w:rsidRPr="005D2333">
        <w:rPr>
          <w:rFonts w:ascii="Times New Roman" w:eastAsia="Times New Roman" w:hAnsi="Times New Roman" w:cs="Times New Roman"/>
          <w:b/>
          <w:sz w:val="24"/>
          <w:szCs w:val="24"/>
          <w:lang w:eastAsia="ru-RU"/>
        </w:rPr>
        <w:br/>
        <w:t>в 200</w:t>
      </w:r>
      <w:r>
        <w:rPr>
          <w:rFonts w:ascii="Times New Roman" w:eastAsia="Times New Roman" w:hAnsi="Times New Roman" w:cs="Times New Roman"/>
          <w:b/>
          <w:sz w:val="24"/>
          <w:szCs w:val="24"/>
          <w:lang w:eastAsia="ru-RU"/>
        </w:rPr>
        <w:t>9</w:t>
      </w:r>
      <w:r w:rsidRPr="005D2333">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3</w:t>
      </w:r>
      <w:r w:rsidRPr="005D2333">
        <w:rPr>
          <w:rFonts w:ascii="Times New Roman" w:eastAsia="Times New Roman" w:hAnsi="Times New Roman" w:cs="Times New Roman"/>
          <w:b/>
          <w:sz w:val="24"/>
          <w:szCs w:val="24"/>
          <w:lang w:eastAsia="ru-RU"/>
        </w:rPr>
        <w:t xml:space="preserve"> годах</w:t>
      </w:r>
    </w:p>
    <w:p w:rsidR="00425460" w:rsidRPr="00425460" w:rsidRDefault="00425460" w:rsidP="00425460">
      <w:pPr>
        <w:spacing w:after="0" w:line="240" w:lineRule="auto"/>
        <w:ind w:firstLine="709"/>
        <w:jc w:val="both"/>
        <w:rPr>
          <w:rFonts w:ascii="Times New Roman" w:eastAsia="Times New Roman" w:hAnsi="Times New Roman" w:cs="Times New Roman"/>
          <w:sz w:val="24"/>
          <w:szCs w:val="24"/>
          <w:lang w:eastAsia="ru-RU"/>
        </w:rPr>
      </w:pPr>
      <w:r w:rsidRPr="00425460">
        <w:rPr>
          <w:rFonts w:ascii="Times New Roman" w:eastAsia="Times New Roman" w:hAnsi="Times New Roman" w:cs="Times New Roman"/>
          <w:sz w:val="24"/>
          <w:szCs w:val="24"/>
          <w:lang w:eastAsia="ru-RU"/>
        </w:rPr>
        <w:t>Согласно данным Федеральной службы государственной статистики по данному показателю в 2013 году Амурская область занимала 3 место среди субъектов Дальневосточного федерального округа после Чукотского автономного округа и республики Саха (Якутии).</w:t>
      </w:r>
    </w:p>
    <w:p w:rsidR="00425460" w:rsidRPr="00425460" w:rsidRDefault="00425460" w:rsidP="00425460">
      <w:pPr>
        <w:spacing w:after="0" w:line="240" w:lineRule="auto"/>
        <w:ind w:firstLine="709"/>
        <w:jc w:val="both"/>
        <w:rPr>
          <w:rFonts w:ascii="Times New Roman" w:eastAsia="Times New Roman" w:hAnsi="Times New Roman" w:cs="Times New Roman"/>
          <w:sz w:val="24"/>
          <w:szCs w:val="24"/>
          <w:lang w:eastAsia="ru-RU"/>
        </w:rPr>
      </w:pPr>
      <w:r w:rsidRPr="00425460">
        <w:rPr>
          <w:rFonts w:ascii="Times New Roman" w:eastAsia="Times New Roman" w:hAnsi="Times New Roman" w:cs="Times New Roman"/>
          <w:sz w:val="24"/>
          <w:szCs w:val="24"/>
          <w:lang w:eastAsia="ru-RU"/>
        </w:rPr>
        <w:t xml:space="preserve">На увеличение показателя оказали влияние рост объемов добычи золота на 5,9 процента в 2013 году относительно 2012 года, увеличение выработки электрической энергии на 13,0 процентов и увеличение производства асфальтобетонных смесей на 11,1 процента.  </w:t>
      </w:r>
    </w:p>
    <w:p w:rsidR="00425460" w:rsidRPr="00425460" w:rsidRDefault="00425460" w:rsidP="00425460">
      <w:pPr>
        <w:spacing w:after="0" w:line="240" w:lineRule="auto"/>
        <w:ind w:firstLine="709"/>
        <w:jc w:val="both"/>
        <w:rPr>
          <w:rFonts w:ascii="Times New Roman" w:eastAsia="Times New Roman" w:hAnsi="Times New Roman" w:cs="Times New Roman"/>
          <w:sz w:val="24"/>
          <w:szCs w:val="24"/>
          <w:lang w:eastAsia="ru-RU"/>
        </w:rPr>
      </w:pPr>
      <w:r w:rsidRPr="00425460">
        <w:rPr>
          <w:rFonts w:ascii="Times New Roman" w:eastAsia="Times New Roman" w:hAnsi="Times New Roman" w:cs="Times New Roman"/>
          <w:sz w:val="24"/>
          <w:szCs w:val="24"/>
          <w:lang w:eastAsia="ru-RU"/>
        </w:rPr>
        <w:lastRenderedPageBreak/>
        <w:t xml:space="preserve">Вследствие неблагоприятных погодно-климатических условий объём продукции сельского хозяйства (по сопоставимой оценке) всех сельхозпроизводителей области в 2013 году по сравнению с 2012 годом снизился на 28,6 процента и составил по предварительным данным 24239,3 млн. рублей. Валовой сбор зерновых культур (рисунок 4) составил </w:t>
      </w:r>
      <w:r w:rsidR="00257D15">
        <w:rPr>
          <w:rFonts w:ascii="Times New Roman" w:eastAsia="Times New Roman" w:hAnsi="Times New Roman" w:cs="Times New Roman"/>
          <w:sz w:val="24"/>
          <w:szCs w:val="24"/>
          <w:lang w:eastAsia="ru-RU"/>
        </w:rPr>
        <w:br/>
      </w:r>
      <w:r w:rsidRPr="00425460">
        <w:rPr>
          <w:rFonts w:ascii="Times New Roman" w:eastAsia="Times New Roman" w:hAnsi="Times New Roman" w:cs="Times New Roman"/>
          <w:sz w:val="24"/>
          <w:szCs w:val="24"/>
          <w:lang w:eastAsia="ru-RU"/>
        </w:rPr>
        <w:t xml:space="preserve">172,3 тыс. тонн (в весе после доработки), что в 1,6 раза меньше, чем в 2012 году. По темпам </w:t>
      </w:r>
      <w:proofErr w:type="gramStart"/>
      <w:r w:rsidRPr="00425460">
        <w:rPr>
          <w:rFonts w:ascii="Times New Roman" w:eastAsia="Times New Roman" w:hAnsi="Times New Roman" w:cs="Times New Roman"/>
          <w:sz w:val="24"/>
          <w:szCs w:val="24"/>
          <w:lang w:eastAsia="ru-RU"/>
        </w:rPr>
        <w:t>снижения индекса производства продукции сельского хозяйства</w:t>
      </w:r>
      <w:proofErr w:type="gramEnd"/>
      <w:r w:rsidRPr="00425460">
        <w:rPr>
          <w:rFonts w:ascii="Times New Roman" w:eastAsia="Times New Roman" w:hAnsi="Times New Roman" w:cs="Times New Roman"/>
          <w:sz w:val="24"/>
          <w:szCs w:val="24"/>
          <w:lang w:eastAsia="ru-RU"/>
        </w:rPr>
        <w:t xml:space="preserve"> в 2013 году относительно 2012 года Амурская область занимает 3 место в Дальневосточном федеральном округе после Чукотского автономного округа и Еврейской автономной области.</w:t>
      </w:r>
    </w:p>
    <w:p w:rsidR="00425460" w:rsidRPr="00960C1A" w:rsidRDefault="00425460" w:rsidP="00425460">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960C1A">
        <w:rPr>
          <w:rFonts w:ascii="Times New Roman" w:eastAsia="Times New Roman" w:hAnsi="Times New Roman" w:cs="Times New Roman"/>
          <w:noProof/>
          <w:color w:val="FF0000"/>
          <w:sz w:val="24"/>
          <w:szCs w:val="24"/>
          <w:lang w:eastAsia="ru-RU"/>
        </w:rPr>
        <w:drawing>
          <wp:inline distT="0" distB="0" distL="0" distR="0" wp14:anchorId="7BE667E9" wp14:editId="512D504D">
            <wp:extent cx="6134100" cy="2505075"/>
            <wp:effectExtent l="0" t="0" r="0" b="0"/>
            <wp:docPr id="3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5460" w:rsidRDefault="00425460" w:rsidP="00425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 4</w:t>
      </w:r>
      <w:r w:rsidRPr="00D05CB2">
        <w:rPr>
          <w:rFonts w:ascii="Times New Roman" w:eastAsia="Times New Roman" w:hAnsi="Times New Roman" w:cs="Times New Roman"/>
          <w:b/>
          <w:sz w:val="24"/>
          <w:szCs w:val="24"/>
          <w:lang w:eastAsia="ru-RU"/>
        </w:rPr>
        <w:t xml:space="preserve"> – Валовые сборы сельскохозяйственных культур в хозяйствах всех </w:t>
      </w:r>
      <w:r w:rsidRPr="00D05CB2">
        <w:rPr>
          <w:rFonts w:ascii="Times New Roman" w:eastAsia="Times New Roman" w:hAnsi="Times New Roman" w:cs="Times New Roman"/>
          <w:b/>
          <w:sz w:val="24"/>
          <w:szCs w:val="24"/>
          <w:lang w:eastAsia="ru-RU"/>
        </w:rPr>
        <w:br/>
        <w:t>категорий, тыс. тонн</w:t>
      </w:r>
    </w:p>
    <w:p w:rsidR="00191D92" w:rsidRPr="00D05CB2" w:rsidRDefault="00191D92" w:rsidP="00425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5460" w:rsidRPr="00191D92" w:rsidRDefault="00425460" w:rsidP="00191D92">
      <w:pPr>
        <w:spacing w:after="0" w:line="240" w:lineRule="auto"/>
        <w:ind w:firstLine="709"/>
        <w:jc w:val="both"/>
        <w:rPr>
          <w:rFonts w:ascii="Times New Roman" w:eastAsia="Times New Roman" w:hAnsi="Times New Roman" w:cs="Times New Roman"/>
          <w:sz w:val="24"/>
          <w:szCs w:val="24"/>
          <w:lang w:eastAsia="ru-RU"/>
        </w:rPr>
      </w:pPr>
      <w:r w:rsidRPr="00191D92">
        <w:rPr>
          <w:rFonts w:ascii="Times New Roman" w:eastAsia="Times New Roman" w:hAnsi="Times New Roman" w:cs="Times New Roman"/>
          <w:sz w:val="24"/>
          <w:szCs w:val="24"/>
          <w:lang w:eastAsia="ru-RU"/>
        </w:rPr>
        <w:t>Значительную долю (15,0 процентов) в структуре ВРП Амурской области занимает строительство. Объем работ, выполненных по данному виду деятельности в 2013 году, остался на уровне 2012 года (101,6 процента) и составил 34164,2 млн. рублей. Амурская область относится к одному из трех субъектов Дальневосточного федерального округа, имеющих положительную динамику данного показателя.</w:t>
      </w:r>
    </w:p>
    <w:p w:rsidR="00425460" w:rsidRPr="00191D92" w:rsidRDefault="00425460" w:rsidP="00191D92">
      <w:pPr>
        <w:spacing w:after="0" w:line="240" w:lineRule="auto"/>
        <w:ind w:firstLine="709"/>
        <w:jc w:val="both"/>
        <w:rPr>
          <w:rFonts w:ascii="Times New Roman" w:eastAsia="Times New Roman" w:hAnsi="Times New Roman" w:cs="Times New Roman"/>
          <w:sz w:val="24"/>
          <w:szCs w:val="24"/>
          <w:lang w:eastAsia="ru-RU"/>
        </w:rPr>
      </w:pPr>
      <w:r w:rsidRPr="00191D92">
        <w:rPr>
          <w:rFonts w:ascii="Times New Roman" w:eastAsia="Times New Roman" w:hAnsi="Times New Roman" w:cs="Times New Roman"/>
          <w:sz w:val="24"/>
          <w:szCs w:val="24"/>
          <w:lang w:eastAsia="ru-RU"/>
        </w:rPr>
        <w:t xml:space="preserve">В жилища направлено 10,3 процента инвестиций в основной капитал, объем которых в 2013 году составил в фактически действовавших ценах 115831,1 млн. рублей, что в сопоставимых ценах меньше уровня 2012 года на 2,9 процента. В структуре инвестиций в основной капитал по видам основных фондов в 2013 году основную долю (54,5 процента) занимали инвестиции в здания (кроме жилых) и сооружения (за счет крупных строек области). </w:t>
      </w:r>
    </w:p>
    <w:p w:rsidR="00425460" w:rsidRPr="00191D92" w:rsidRDefault="00425460" w:rsidP="00191D92">
      <w:pPr>
        <w:spacing w:after="0" w:line="240" w:lineRule="auto"/>
        <w:ind w:firstLine="709"/>
        <w:jc w:val="both"/>
        <w:rPr>
          <w:rFonts w:ascii="Times New Roman" w:eastAsia="Times New Roman" w:hAnsi="Times New Roman" w:cs="Times New Roman"/>
          <w:sz w:val="24"/>
          <w:szCs w:val="24"/>
          <w:lang w:eastAsia="ru-RU"/>
        </w:rPr>
      </w:pPr>
      <w:r w:rsidRPr="00191D92">
        <w:rPr>
          <w:rFonts w:ascii="Times New Roman" w:eastAsia="Times New Roman" w:hAnsi="Times New Roman" w:cs="Times New Roman"/>
          <w:sz w:val="24"/>
          <w:szCs w:val="24"/>
          <w:lang w:eastAsia="ru-RU"/>
        </w:rPr>
        <w:t>В 2013 году предприятиями транспорта общего пользования перевезено 12,2 млн. тонн грузов, что меньше, чем в 2012 году в 2,1 раза. Грузооборот составил 86,3 млрд. тонно-километров и уменьшился по сравнению с 2012 годом на 4,5 процента.</w:t>
      </w:r>
    </w:p>
    <w:p w:rsidR="00425460" w:rsidRPr="00191D92" w:rsidRDefault="00425460" w:rsidP="00191D92">
      <w:pPr>
        <w:spacing w:after="0" w:line="240" w:lineRule="auto"/>
        <w:ind w:firstLine="709"/>
        <w:jc w:val="both"/>
        <w:rPr>
          <w:rFonts w:ascii="Times New Roman" w:eastAsia="Times New Roman" w:hAnsi="Times New Roman" w:cs="Times New Roman"/>
          <w:sz w:val="24"/>
          <w:szCs w:val="24"/>
          <w:lang w:eastAsia="ru-RU"/>
        </w:rPr>
      </w:pPr>
      <w:r w:rsidRPr="00191D92">
        <w:rPr>
          <w:rFonts w:ascii="Times New Roman" w:eastAsia="Times New Roman" w:hAnsi="Times New Roman" w:cs="Times New Roman"/>
          <w:sz w:val="24"/>
          <w:szCs w:val="24"/>
          <w:lang w:eastAsia="ru-RU"/>
        </w:rPr>
        <w:t xml:space="preserve">В 2013 году объем перевезенных пассажиров транспортом общего пользования области составил 63,4 млн. человек, или 86,2 процента к уровню 2012 года. Пассажирооборот по сравнению с 2012 годом снизился на 14,8 процента и составил </w:t>
      </w:r>
      <w:r w:rsidR="00191D92">
        <w:rPr>
          <w:rFonts w:ascii="Times New Roman" w:eastAsia="Times New Roman" w:hAnsi="Times New Roman" w:cs="Times New Roman"/>
          <w:sz w:val="24"/>
          <w:szCs w:val="24"/>
          <w:lang w:eastAsia="ru-RU"/>
        </w:rPr>
        <w:br/>
      </w:r>
      <w:r w:rsidRPr="00191D92">
        <w:rPr>
          <w:rFonts w:ascii="Times New Roman" w:eastAsia="Times New Roman" w:hAnsi="Times New Roman" w:cs="Times New Roman"/>
          <w:sz w:val="24"/>
          <w:szCs w:val="24"/>
          <w:lang w:eastAsia="ru-RU"/>
        </w:rPr>
        <w:t>1659,0 млн. пасс.километров.</w:t>
      </w:r>
    </w:p>
    <w:p w:rsidR="00425460" w:rsidRPr="00191D92" w:rsidRDefault="00425460" w:rsidP="00191D92">
      <w:pPr>
        <w:spacing w:after="0" w:line="240" w:lineRule="auto"/>
        <w:ind w:firstLine="709"/>
        <w:jc w:val="both"/>
        <w:rPr>
          <w:rFonts w:ascii="Times New Roman" w:eastAsia="Times New Roman" w:hAnsi="Times New Roman" w:cs="Times New Roman"/>
          <w:sz w:val="24"/>
          <w:szCs w:val="24"/>
          <w:lang w:eastAsia="ru-RU"/>
        </w:rPr>
      </w:pPr>
      <w:r w:rsidRPr="00191D92">
        <w:rPr>
          <w:rFonts w:ascii="Times New Roman" w:eastAsia="Times New Roman" w:hAnsi="Times New Roman" w:cs="Times New Roman"/>
          <w:sz w:val="24"/>
          <w:szCs w:val="24"/>
          <w:lang w:eastAsia="ru-RU"/>
        </w:rPr>
        <w:t xml:space="preserve">В 2013 году оборот оптовой торговли сложился в сумме 63,5 млрд. рублей, что в сопоставимой оценке меньше на 17,5 процента, чем в 2012 году. </w:t>
      </w:r>
    </w:p>
    <w:p w:rsidR="00425460" w:rsidRPr="00191D92" w:rsidRDefault="00425460" w:rsidP="00191D92">
      <w:pPr>
        <w:spacing w:after="0" w:line="240" w:lineRule="auto"/>
        <w:ind w:firstLine="709"/>
        <w:jc w:val="both"/>
        <w:rPr>
          <w:rFonts w:ascii="Times New Roman" w:eastAsia="Times New Roman" w:hAnsi="Times New Roman" w:cs="Times New Roman"/>
          <w:sz w:val="24"/>
          <w:szCs w:val="24"/>
          <w:lang w:eastAsia="ru-RU"/>
        </w:rPr>
      </w:pPr>
      <w:r w:rsidRPr="00191D92">
        <w:rPr>
          <w:rFonts w:ascii="Times New Roman" w:eastAsia="Times New Roman" w:hAnsi="Times New Roman" w:cs="Times New Roman"/>
          <w:sz w:val="24"/>
          <w:szCs w:val="24"/>
          <w:lang w:eastAsia="ru-RU"/>
        </w:rPr>
        <w:t xml:space="preserve">Индекс физического объема оборота розничной торговли в сопоставимых ценах по пищевым продуктам, включая напитки и табачные изделия, в 2013 году составил </w:t>
      </w:r>
      <w:r w:rsidR="00FA07F5">
        <w:rPr>
          <w:rFonts w:ascii="Times New Roman" w:eastAsia="Times New Roman" w:hAnsi="Times New Roman" w:cs="Times New Roman"/>
          <w:sz w:val="24"/>
          <w:szCs w:val="24"/>
          <w:lang w:eastAsia="ru-RU"/>
        </w:rPr>
        <w:br/>
      </w:r>
      <w:r w:rsidRPr="00191D92">
        <w:rPr>
          <w:rFonts w:ascii="Times New Roman" w:eastAsia="Times New Roman" w:hAnsi="Times New Roman" w:cs="Times New Roman"/>
          <w:sz w:val="24"/>
          <w:szCs w:val="24"/>
          <w:lang w:eastAsia="ru-RU"/>
        </w:rPr>
        <w:t xml:space="preserve">105,0 процентов по отношению к 2012 году, по непродовольственным товарам – </w:t>
      </w:r>
      <w:r w:rsidR="00257D15">
        <w:rPr>
          <w:rFonts w:ascii="Times New Roman" w:eastAsia="Times New Roman" w:hAnsi="Times New Roman" w:cs="Times New Roman"/>
          <w:sz w:val="24"/>
          <w:szCs w:val="24"/>
          <w:lang w:eastAsia="ru-RU"/>
        </w:rPr>
        <w:br/>
      </w:r>
      <w:r w:rsidRPr="00191D92">
        <w:rPr>
          <w:rFonts w:ascii="Times New Roman" w:eastAsia="Times New Roman" w:hAnsi="Times New Roman" w:cs="Times New Roman"/>
          <w:sz w:val="24"/>
          <w:szCs w:val="24"/>
          <w:lang w:eastAsia="ru-RU"/>
        </w:rPr>
        <w:t>106,0 процентов по отношению к 2012 году.</w:t>
      </w:r>
    </w:p>
    <w:p w:rsidR="00425460" w:rsidRPr="00191D92" w:rsidRDefault="00425460" w:rsidP="00191D92">
      <w:pPr>
        <w:spacing w:after="0" w:line="240" w:lineRule="auto"/>
        <w:ind w:firstLine="709"/>
        <w:jc w:val="both"/>
        <w:rPr>
          <w:rFonts w:ascii="Times New Roman" w:eastAsia="Times New Roman" w:hAnsi="Times New Roman" w:cs="Times New Roman"/>
          <w:sz w:val="24"/>
          <w:szCs w:val="24"/>
          <w:lang w:eastAsia="ru-RU"/>
        </w:rPr>
      </w:pPr>
      <w:proofErr w:type="gramStart"/>
      <w:r w:rsidRPr="00191D92">
        <w:rPr>
          <w:rFonts w:ascii="Times New Roman" w:eastAsia="Times New Roman" w:hAnsi="Times New Roman" w:cs="Times New Roman"/>
          <w:sz w:val="24"/>
          <w:szCs w:val="24"/>
          <w:lang w:eastAsia="ru-RU"/>
        </w:rPr>
        <w:t xml:space="preserve">Индекс потребительских цен на товары и услуги за 2013 год (рисунок 5) составил 107,7 процента (за 2012 год – 107,2 процента), в том числе на продовольственные товары – 109,3 процента (выше уровня декабря 2012 года к декабрю 2011 года на 3,8 процентных пункта), услуги – 108,1 процента (выше уровня декабря 2012 года к декабрю 2011 года на </w:t>
      </w:r>
      <w:r w:rsidR="00FA07F5">
        <w:rPr>
          <w:rFonts w:ascii="Times New Roman" w:eastAsia="Times New Roman" w:hAnsi="Times New Roman" w:cs="Times New Roman"/>
          <w:sz w:val="24"/>
          <w:szCs w:val="24"/>
          <w:lang w:eastAsia="ru-RU"/>
        </w:rPr>
        <w:br/>
      </w:r>
      <w:r w:rsidRPr="00191D92">
        <w:rPr>
          <w:rFonts w:ascii="Times New Roman" w:eastAsia="Times New Roman" w:hAnsi="Times New Roman" w:cs="Times New Roman"/>
          <w:sz w:val="24"/>
          <w:szCs w:val="24"/>
          <w:lang w:eastAsia="ru-RU"/>
        </w:rPr>
        <w:lastRenderedPageBreak/>
        <w:t>0,7 процентных пункта), непродовольственные товары – 106,0</w:t>
      </w:r>
      <w:proofErr w:type="gramEnd"/>
      <w:r w:rsidRPr="00191D92">
        <w:rPr>
          <w:rFonts w:ascii="Times New Roman" w:eastAsia="Times New Roman" w:hAnsi="Times New Roman" w:cs="Times New Roman"/>
          <w:sz w:val="24"/>
          <w:szCs w:val="24"/>
          <w:lang w:eastAsia="ru-RU"/>
        </w:rPr>
        <w:t xml:space="preserve"> процентов (ниже уровня декабря 2012 года к декабрю 2011 года на 2,6 процентных пункта).</w:t>
      </w:r>
    </w:p>
    <w:p w:rsidR="00425460" w:rsidRDefault="00425460" w:rsidP="00425460">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Pr>
          <w:noProof/>
          <w:color w:val="FF0000"/>
          <w:lang w:eastAsia="ru-RU"/>
        </w:rPr>
        <w:drawing>
          <wp:inline distT="0" distB="0" distL="0" distR="0" wp14:anchorId="526E8126" wp14:editId="745D6D36">
            <wp:extent cx="5857875" cy="3095625"/>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5460" w:rsidRDefault="00425460" w:rsidP="00425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Рис. 5 – Индекс цен и тарифов в декабре 2012 и 2013 годов, </w:t>
      </w:r>
      <w:r>
        <w:rPr>
          <w:rFonts w:ascii="Times New Roman" w:eastAsia="Times New Roman" w:hAnsi="Times New Roman" w:cs="Times New Roman"/>
          <w:b/>
          <w:sz w:val="24"/>
          <w:szCs w:val="24"/>
          <w:lang w:eastAsia="ru-RU"/>
        </w:rPr>
        <w:br/>
        <w:t>в процентах к декабрю</w:t>
      </w:r>
      <w:r w:rsidRPr="00CD6BA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предыдущего года</w:t>
      </w:r>
    </w:p>
    <w:p w:rsidR="00425460" w:rsidRDefault="00425460" w:rsidP="00425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5460" w:rsidRPr="00FA07F5" w:rsidRDefault="00425460" w:rsidP="00FA07F5">
      <w:pPr>
        <w:spacing w:after="0" w:line="240" w:lineRule="auto"/>
        <w:ind w:firstLine="709"/>
        <w:jc w:val="both"/>
        <w:rPr>
          <w:rFonts w:ascii="Times New Roman" w:eastAsia="Times New Roman" w:hAnsi="Times New Roman" w:cs="Times New Roman"/>
          <w:sz w:val="24"/>
          <w:szCs w:val="24"/>
          <w:lang w:eastAsia="ru-RU"/>
        </w:rPr>
      </w:pPr>
      <w:r w:rsidRPr="00FA07F5">
        <w:rPr>
          <w:rFonts w:ascii="Times New Roman" w:eastAsia="Times New Roman" w:hAnsi="Times New Roman" w:cs="Times New Roman"/>
          <w:sz w:val="24"/>
          <w:szCs w:val="24"/>
          <w:lang w:eastAsia="ru-RU"/>
        </w:rPr>
        <w:t>Проведенный анализ социально-экономического положения Амурской области показал, что на развитие экономики области в 2013 году значительное влияние оказало наводнение, которое выразилось в снижении основного макроэкономического показателя – ВРП, а также в снижении объемов производства продукции сельского хозяйства. Вместе с тем, присутствует ряд положительных моментов, таких как рост промышленного производства, снижение доли населения с доход</w:t>
      </w:r>
      <w:r w:rsidR="00321CAE">
        <w:rPr>
          <w:rFonts w:ascii="Times New Roman" w:eastAsia="Times New Roman" w:hAnsi="Times New Roman" w:cs="Times New Roman"/>
          <w:sz w:val="24"/>
          <w:szCs w:val="24"/>
          <w:lang w:eastAsia="ru-RU"/>
        </w:rPr>
        <w:t>ами ниже прожиточного минимума.</w:t>
      </w:r>
    </w:p>
    <w:bookmarkEnd w:id="0"/>
    <w:bookmarkEnd w:id="1"/>
    <w:bookmarkEnd w:id="2"/>
    <w:p w:rsidR="002B7865" w:rsidRDefault="002B7865" w:rsidP="00D721B2">
      <w:pPr>
        <w:spacing w:after="0" w:line="240" w:lineRule="auto"/>
        <w:ind w:firstLine="709"/>
        <w:jc w:val="both"/>
        <w:rPr>
          <w:rFonts w:ascii="Times New Roman" w:eastAsia="Times New Roman" w:hAnsi="Times New Roman" w:cs="Times New Roman"/>
          <w:b/>
          <w:sz w:val="24"/>
          <w:szCs w:val="24"/>
          <w:lang w:eastAsia="ru-RU"/>
        </w:rPr>
      </w:pPr>
    </w:p>
    <w:p w:rsidR="00D721B2" w:rsidRPr="0046224F" w:rsidRDefault="00D721B2" w:rsidP="00D721B2">
      <w:pPr>
        <w:spacing w:after="0" w:line="240" w:lineRule="auto"/>
        <w:ind w:firstLine="709"/>
        <w:jc w:val="both"/>
        <w:rPr>
          <w:rFonts w:ascii="Times New Roman" w:eastAsia="Times New Roman" w:hAnsi="Times New Roman" w:cs="Times New Roman"/>
          <w:sz w:val="24"/>
          <w:szCs w:val="24"/>
          <w:lang w:eastAsia="ru-RU"/>
        </w:rPr>
      </w:pPr>
      <w:r w:rsidRPr="00A3671A">
        <w:rPr>
          <w:rFonts w:ascii="Times New Roman" w:eastAsia="Times New Roman" w:hAnsi="Times New Roman" w:cs="Times New Roman"/>
          <w:b/>
          <w:sz w:val="24"/>
          <w:szCs w:val="24"/>
          <w:lang w:eastAsia="ru-RU"/>
        </w:rPr>
        <w:t>2</w:t>
      </w:r>
      <w:bookmarkStart w:id="3" w:name="_Toc137011263"/>
      <w:r w:rsidRPr="00A3671A">
        <w:rPr>
          <w:rFonts w:ascii="Times New Roman" w:eastAsia="Times New Roman" w:hAnsi="Times New Roman" w:cs="Times New Roman"/>
          <w:b/>
          <w:sz w:val="24"/>
          <w:szCs w:val="24"/>
          <w:lang w:eastAsia="ru-RU"/>
        </w:rPr>
        <w:t>. Исполнение консолидированного бюджета области за 201</w:t>
      </w:r>
      <w:r>
        <w:rPr>
          <w:rFonts w:ascii="Times New Roman" w:eastAsia="Times New Roman" w:hAnsi="Times New Roman" w:cs="Times New Roman"/>
          <w:b/>
          <w:sz w:val="24"/>
          <w:szCs w:val="24"/>
          <w:lang w:eastAsia="ru-RU"/>
        </w:rPr>
        <w:t>3</w:t>
      </w:r>
      <w:r w:rsidRPr="00A3671A">
        <w:rPr>
          <w:rFonts w:ascii="Times New Roman" w:eastAsia="Times New Roman" w:hAnsi="Times New Roman" w:cs="Times New Roman"/>
          <w:b/>
          <w:sz w:val="24"/>
          <w:szCs w:val="24"/>
          <w:lang w:eastAsia="ru-RU"/>
        </w:rPr>
        <w:t xml:space="preserve"> год</w:t>
      </w:r>
      <w:bookmarkEnd w:id="3"/>
    </w:p>
    <w:p w:rsidR="00BD3BC7" w:rsidRPr="00BD3BC7" w:rsidRDefault="00BD3BC7" w:rsidP="00BD3BC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D3BC7">
        <w:rPr>
          <w:rFonts w:ascii="Times New Roman" w:eastAsia="Times New Roman" w:hAnsi="Times New Roman" w:cs="Times New Roman"/>
          <w:sz w:val="24"/>
          <w:szCs w:val="24"/>
          <w:lang w:eastAsia="ru-RU"/>
        </w:rPr>
        <w:t>Исполнение консолидированного бюджета Амурской области за 2013 год по доходам составило 75717,2 млн</w:t>
      </w:r>
      <w:r w:rsidRPr="00BD3BC7">
        <w:rPr>
          <w:rFonts w:ascii="Times New Roman" w:eastAsia="Times New Roman" w:hAnsi="Times New Roman" w:cs="Times New Roman"/>
          <w:bCs/>
          <w:sz w:val="24"/>
          <w:szCs w:val="24"/>
          <w:lang w:eastAsia="ru-RU"/>
        </w:rPr>
        <w:t>. рублей</w:t>
      </w:r>
      <w:r w:rsidRPr="00BD3BC7">
        <w:rPr>
          <w:rFonts w:ascii="Times New Roman" w:eastAsia="Times New Roman" w:hAnsi="Times New Roman" w:cs="Times New Roman"/>
          <w:sz w:val="24"/>
          <w:szCs w:val="24"/>
          <w:lang w:eastAsia="ru-RU"/>
        </w:rPr>
        <w:t xml:space="preserve"> (134,4 процента к плану), по расходам – 78530,4 млн</w:t>
      </w:r>
      <w:r w:rsidRPr="00BD3BC7">
        <w:rPr>
          <w:rFonts w:ascii="Times New Roman" w:eastAsia="Times New Roman" w:hAnsi="Times New Roman" w:cs="Times New Roman"/>
          <w:bCs/>
          <w:sz w:val="24"/>
          <w:szCs w:val="24"/>
          <w:lang w:eastAsia="ru-RU"/>
        </w:rPr>
        <w:t>. рублей</w:t>
      </w:r>
      <w:r w:rsidRPr="00BD3BC7">
        <w:rPr>
          <w:rFonts w:ascii="Times New Roman" w:eastAsia="Times New Roman" w:hAnsi="Times New Roman" w:cs="Times New Roman"/>
          <w:sz w:val="24"/>
          <w:szCs w:val="24"/>
          <w:lang w:eastAsia="ru-RU"/>
        </w:rPr>
        <w:t xml:space="preserve"> (85,4 процента к плану).</w:t>
      </w:r>
    </w:p>
    <w:p w:rsidR="00BD3BC7" w:rsidRPr="006920AD" w:rsidRDefault="00BD3BC7" w:rsidP="00BD3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BC7">
        <w:rPr>
          <w:rFonts w:ascii="Times New Roman" w:eastAsia="Times New Roman" w:hAnsi="Times New Roman" w:cs="Times New Roman"/>
          <w:sz w:val="24"/>
          <w:szCs w:val="24"/>
          <w:lang w:eastAsia="ru-RU"/>
        </w:rPr>
        <w:t xml:space="preserve">На протяжении шести лет (с 2008 по 2013 годы) наблюдается тенденция устойчивого роста доходов консолидированного бюджета. Динамика поступлений доходов консолидированного бюджета за 2008-2013 годы представлена на </w:t>
      </w:r>
      <w:r>
        <w:rPr>
          <w:rFonts w:ascii="Times New Roman" w:eastAsia="Times New Roman" w:hAnsi="Times New Roman" w:cs="Times New Roman"/>
          <w:sz w:val="24"/>
          <w:szCs w:val="24"/>
          <w:lang w:eastAsia="ru-RU"/>
        </w:rPr>
        <w:t>рисунке</w:t>
      </w:r>
      <w:r w:rsidRPr="00BD3BC7">
        <w:rPr>
          <w:rFonts w:ascii="Times New Roman" w:eastAsia="Times New Roman" w:hAnsi="Times New Roman" w:cs="Times New Roman"/>
          <w:color w:val="FF0000"/>
          <w:sz w:val="24"/>
          <w:szCs w:val="24"/>
          <w:lang w:eastAsia="ru-RU"/>
        </w:rPr>
        <w:t xml:space="preserve"> </w:t>
      </w:r>
      <w:r w:rsidRPr="00BD3BC7">
        <w:rPr>
          <w:rFonts w:ascii="Times New Roman" w:eastAsia="Times New Roman" w:hAnsi="Times New Roman" w:cs="Times New Roman"/>
          <w:sz w:val="24"/>
          <w:szCs w:val="24"/>
          <w:lang w:eastAsia="ru-RU"/>
        </w:rPr>
        <w:t xml:space="preserve">6. </w:t>
      </w:r>
      <w:r w:rsidRPr="00A3671A">
        <w:rPr>
          <w:rFonts w:ascii="Times New Roman" w:eastAsia="Times New Roman" w:hAnsi="Times New Roman" w:cs="Times New Roman"/>
          <w:noProof/>
          <w:sz w:val="24"/>
          <w:szCs w:val="24"/>
          <w:lang w:eastAsia="ru-RU"/>
        </w:rPr>
        <w:drawing>
          <wp:inline distT="0" distB="0" distL="0" distR="0" wp14:anchorId="480B10FE" wp14:editId="6B97AFFF">
            <wp:extent cx="6134100" cy="258127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3BC7" w:rsidRPr="006920AD" w:rsidRDefault="00BD3BC7" w:rsidP="00BD3B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84C1F">
        <w:rPr>
          <w:rFonts w:ascii="Times New Roman" w:eastAsia="Times New Roman" w:hAnsi="Times New Roman" w:cs="Times New Roman"/>
          <w:b/>
          <w:sz w:val="24"/>
          <w:szCs w:val="24"/>
          <w:lang w:eastAsia="ru-RU"/>
        </w:rPr>
        <w:t xml:space="preserve">Рис. </w:t>
      </w:r>
      <w:r w:rsidR="00684C1F" w:rsidRPr="00684C1F">
        <w:rPr>
          <w:rFonts w:ascii="Times New Roman" w:eastAsia="Times New Roman" w:hAnsi="Times New Roman" w:cs="Times New Roman"/>
          <w:b/>
          <w:sz w:val="24"/>
          <w:szCs w:val="24"/>
          <w:lang w:eastAsia="ru-RU"/>
        </w:rPr>
        <w:t>6</w:t>
      </w:r>
      <w:r w:rsidRPr="000C6EB9">
        <w:rPr>
          <w:rFonts w:ascii="Times New Roman" w:eastAsia="Times New Roman" w:hAnsi="Times New Roman" w:cs="Times New Roman"/>
          <w:b/>
          <w:color w:val="FF0000"/>
          <w:sz w:val="24"/>
          <w:szCs w:val="24"/>
          <w:lang w:eastAsia="ru-RU"/>
        </w:rPr>
        <w:t xml:space="preserve"> </w:t>
      </w:r>
      <w:r w:rsidRPr="006920AD">
        <w:rPr>
          <w:rFonts w:ascii="Times New Roman" w:eastAsia="Times New Roman" w:hAnsi="Times New Roman" w:cs="Times New Roman"/>
          <w:b/>
          <w:sz w:val="24"/>
          <w:szCs w:val="24"/>
          <w:lang w:eastAsia="ru-RU"/>
        </w:rPr>
        <w:t xml:space="preserve">- </w:t>
      </w:r>
      <w:r w:rsidRPr="006920AD">
        <w:rPr>
          <w:rFonts w:ascii="Times New Roman" w:eastAsia="Times New Roman" w:hAnsi="Times New Roman" w:cs="Times New Roman"/>
          <w:b/>
          <w:color w:val="000000"/>
          <w:sz w:val="24"/>
          <w:szCs w:val="24"/>
          <w:lang w:eastAsia="ru-RU"/>
        </w:rPr>
        <w:t xml:space="preserve">Динамика поступлений доходов консолидированного бюджета </w:t>
      </w:r>
      <w:r w:rsidRPr="006920AD">
        <w:rPr>
          <w:rFonts w:ascii="Times New Roman" w:eastAsia="Times New Roman" w:hAnsi="Times New Roman" w:cs="Times New Roman"/>
          <w:b/>
          <w:color w:val="000000"/>
          <w:sz w:val="24"/>
          <w:szCs w:val="24"/>
          <w:lang w:eastAsia="ru-RU"/>
        </w:rPr>
        <w:br/>
        <w:t>за 200</w:t>
      </w:r>
      <w:r>
        <w:rPr>
          <w:rFonts w:ascii="Times New Roman" w:eastAsia="Times New Roman" w:hAnsi="Times New Roman" w:cs="Times New Roman"/>
          <w:b/>
          <w:color w:val="000000"/>
          <w:sz w:val="24"/>
          <w:szCs w:val="24"/>
          <w:lang w:eastAsia="ru-RU"/>
        </w:rPr>
        <w:t>8</w:t>
      </w:r>
      <w:r w:rsidRPr="006920AD">
        <w:rPr>
          <w:rFonts w:ascii="Times New Roman" w:eastAsia="Times New Roman" w:hAnsi="Times New Roman" w:cs="Times New Roman"/>
          <w:b/>
          <w:color w:val="000000"/>
          <w:sz w:val="24"/>
          <w:szCs w:val="24"/>
          <w:lang w:eastAsia="ru-RU"/>
        </w:rPr>
        <w:t>-201</w:t>
      </w:r>
      <w:r>
        <w:rPr>
          <w:rFonts w:ascii="Times New Roman" w:eastAsia="Times New Roman" w:hAnsi="Times New Roman" w:cs="Times New Roman"/>
          <w:b/>
          <w:color w:val="000000"/>
          <w:sz w:val="24"/>
          <w:szCs w:val="24"/>
          <w:lang w:eastAsia="ru-RU"/>
        </w:rPr>
        <w:t>3</w:t>
      </w:r>
      <w:r w:rsidRPr="006920AD">
        <w:rPr>
          <w:rFonts w:ascii="Times New Roman" w:eastAsia="Times New Roman" w:hAnsi="Times New Roman" w:cs="Times New Roman"/>
          <w:b/>
          <w:color w:val="000000"/>
          <w:sz w:val="24"/>
          <w:szCs w:val="24"/>
          <w:lang w:eastAsia="ru-RU"/>
        </w:rPr>
        <w:t xml:space="preserve"> годы </w:t>
      </w:r>
    </w:p>
    <w:p w:rsidR="00BD3BC7" w:rsidRPr="00786BC6" w:rsidRDefault="00BD3BC7" w:rsidP="00786B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BC6">
        <w:rPr>
          <w:rFonts w:ascii="Times New Roman" w:eastAsia="Times New Roman" w:hAnsi="Times New Roman" w:cs="Times New Roman"/>
          <w:sz w:val="24"/>
          <w:szCs w:val="24"/>
          <w:lang w:eastAsia="ru-RU"/>
        </w:rPr>
        <w:lastRenderedPageBreak/>
        <w:t xml:space="preserve">Объем поступлений налоговых и неналоговых доходов консолидированного бюджета области в 2013 году составил 35653,4 млн. рублей, безвозмездных поступлений – </w:t>
      </w:r>
      <w:r w:rsidR="00786BC6">
        <w:rPr>
          <w:rFonts w:ascii="Times New Roman" w:eastAsia="Times New Roman" w:hAnsi="Times New Roman" w:cs="Times New Roman"/>
          <w:sz w:val="24"/>
          <w:szCs w:val="24"/>
          <w:lang w:eastAsia="ru-RU"/>
        </w:rPr>
        <w:br/>
      </w:r>
      <w:r w:rsidRPr="00786BC6">
        <w:rPr>
          <w:rFonts w:ascii="Times New Roman" w:eastAsia="Times New Roman" w:hAnsi="Times New Roman" w:cs="Times New Roman"/>
          <w:sz w:val="24"/>
          <w:szCs w:val="24"/>
          <w:lang w:eastAsia="ru-RU"/>
        </w:rPr>
        <w:t>40063,8 млн. рублей.</w:t>
      </w:r>
    </w:p>
    <w:p w:rsidR="00BD3BC7" w:rsidRPr="00786BC6" w:rsidRDefault="00BD3BC7" w:rsidP="00786B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BC6">
        <w:rPr>
          <w:rFonts w:ascii="Times New Roman" w:eastAsia="Times New Roman" w:hAnsi="Times New Roman" w:cs="Times New Roman"/>
          <w:sz w:val="24"/>
          <w:szCs w:val="24"/>
          <w:lang w:eastAsia="ru-RU"/>
        </w:rPr>
        <w:t xml:space="preserve">Структура доходов консолидированного бюджета Амурской области в 2013 году представлена на </w:t>
      </w:r>
      <w:r w:rsidR="00786BC6">
        <w:rPr>
          <w:rFonts w:ascii="Times New Roman" w:eastAsia="Times New Roman" w:hAnsi="Times New Roman" w:cs="Times New Roman"/>
          <w:sz w:val="24"/>
          <w:szCs w:val="24"/>
          <w:lang w:eastAsia="ru-RU"/>
        </w:rPr>
        <w:t>рисунке 7</w:t>
      </w:r>
      <w:r w:rsidRPr="00786BC6">
        <w:rPr>
          <w:rFonts w:ascii="Times New Roman" w:eastAsia="Times New Roman" w:hAnsi="Times New Roman" w:cs="Times New Roman"/>
          <w:sz w:val="24"/>
          <w:szCs w:val="24"/>
          <w:lang w:eastAsia="ru-RU"/>
        </w:rPr>
        <w:t>.</w:t>
      </w:r>
    </w:p>
    <w:p w:rsidR="00BD3BC7" w:rsidRPr="003A1443" w:rsidRDefault="00BD3BC7" w:rsidP="00CB47B6">
      <w:pPr>
        <w:widowControl w:val="0"/>
        <w:tabs>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3671A">
        <w:rPr>
          <w:rFonts w:ascii="Times New Roman" w:eastAsia="Times New Roman" w:hAnsi="Times New Roman" w:cs="Times New Roman"/>
          <w:noProof/>
          <w:color w:val="FF0000"/>
          <w:sz w:val="24"/>
          <w:szCs w:val="24"/>
          <w:lang w:eastAsia="ru-RU"/>
        </w:rPr>
        <w:drawing>
          <wp:inline distT="0" distB="0" distL="0" distR="0" wp14:anchorId="3547ADAB" wp14:editId="19DE3F7B">
            <wp:extent cx="6210300" cy="3305175"/>
            <wp:effectExtent l="0" t="0" r="0" b="0"/>
            <wp:docPr id="40"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3BC7" w:rsidRPr="006920AD" w:rsidRDefault="00BD3BC7" w:rsidP="00BD3BC7">
      <w:pPr>
        <w:spacing w:after="0" w:line="240" w:lineRule="auto"/>
        <w:ind w:firstLine="720"/>
        <w:jc w:val="center"/>
        <w:rPr>
          <w:rFonts w:ascii="Times New Roman" w:eastAsia="Times New Roman" w:hAnsi="Times New Roman" w:cs="Times New Roman"/>
          <w:b/>
          <w:sz w:val="24"/>
          <w:szCs w:val="24"/>
          <w:lang w:eastAsia="ru-RU"/>
        </w:rPr>
      </w:pPr>
      <w:r w:rsidRPr="00786BC6">
        <w:rPr>
          <w:rFonts w:ascii="Times New Roman" w:eastAsia="Times New Roman" w:hAnsi="Times New Roman" w:cs="Times New Roman"/>
          <w:b/>
          <w:sz w:val="24"/>
          <w:szCs w:val="24"/>
          <w:lang w:eastAsia="ru-RU"/>
        </w:rPr>
        <w:t xml:space="preserve">Рис. </w:t>
      </w:r>
      <w:r w:rsidR="00786BC6" w:rsidRPr="00786BC6">
        <w:rPr>
          <w:rFonts w:ascii="Times New Roman" w:eastAsia="Times New Roman" w:hAnsi="Times New Roman" w:cs="Times New Roman"/>
          <w:b/>
          <w:sz w:val="24"/>
          <w:szCs w:val="24"/>
          <w:lang w:eastAsia="ru-RU"/>
        </w:rPr>
        <w:t>7</w:t>
      </w:r>
      <w:r w:rsidRPr="000C6EB9">
        <w:rPr>
          <w:rFonts w:ascii="Times New Roman" w:eastAsia="Times New Roman" w:hAnsi="Times New Roman" w:cs="Times New Roman"/>
          <w:b/>
          <w:color w:val="FF0000"/>
          <w:sz w:val="24"/>
          <w:szCs w:val="24"/>
          <w:lang w:eastAsia="ru-RU"/>
        </w:rPr>
        <w:t xml:space="preserve"> </w:t>
      </w:r>
      <w:r w:rsidRPr="006920AD">
        <w:rPr>
          <w:rFonts w:ascii="Times New Roman" w:eastAsia="Times New Roman" w:hAnsi="Times New Roman" w:cs="Times New Roman"/>
          <w:b/>
          <w:sz w:val="24"/>
          <w:szCs w:val="24"/>
          <w:lang w:eastAsia="ru-RU"/>
        </w:rPr>
        <w:t xml:space="preserve">– Структура доходов консолидированного бюджета </w:t>
      </w:r>
      <w:r w:rsidRPr="006920AD">
        <w:rPr>
          <w:rFonts w:ascii="Times New Roman" w:eastAsia="Times New Roman" w:hAnsi="Times New Roman" w:cs="Times New Roman"/>
          <w:b/>
          <w:sz w:val="24"/>
          <w:szCs w:val="24"/>
          <w:lang w:eastAsia="ru-RU"/>
        </w:rPr>
        <w:br/>
        <w:t>Амурской области в 201</w:t>
      </w:r>
      <w:r>
        <w:rPr>
          <w:rFonts w:ascii="Times New Roman" w:eastAsia="Times New Roman" w:hAnsi="Times New Roman" w:cs="Times New Roman"/>
          <w:b/>
          <w:sz w:val="24"/>
          <w:szCs w:val="24"/>
          <w:lang w:eastAsia="ru-RU"/>
        </w:rPr>
        <w:t>3</w:t>
      </w:r>
      <w:r w:rsidRPr="006920AD">
        <w:rPr>
          <w:rFonts w:ascii="Times New Roman" w:eastAsia="Times New Roman" w:hAnsi="Times New Roman" w:cs="Times New Roman"/>
          <w:b/>
          <w:sz w:val="24"/>
          <w:szCs w:val="24"/>
          <w:lang w:eastAsia="ru-RU"/>
        </w:rPr>
        <w:t xml:space="preserve"> году</w:t>
      </w:r>
    </w:p>
    <w:p w:rsidR="00D16B89" w:rsidRDefault="00D16B89" w:rsidP="00E73699">
      <w:pPr>
        <w:spacing w:after="0" w:line="240" w:lineRule="auto"/>
        <w:ind w:firstLine="709"/>
        <w:jc w:val="both"/>
        <w:rPr>
          <w:rFonts w:ascii="Times New Roman" w:eastAsia="Times New Roman" w:hAnsi="Times New Roman" w:cs="Times New Roman"/>
          <w:spacing w:val="6"/>
          <w:sz w:val="24"/>
          <w:szCs w:val="24"/>
          <w:lang w:eastAsia="ru-RU"/>
        </w:rPr>
      </w:pPr>
    </w:p>
    <w:p w:rsidR="00BD3BC7" w:rsidRPr="00E73699" w:rsidRDefault="00BD3BC7" w:rsidP="00E73699">
      <w:pPr>
        <w:spacing w:after="0" w:line="240" w:lineRule="auto"/>
        <w:ind w:firstLine="709"/>
        <w:jc w:val="both"/>
        <w:rPr>
          <w:rFonts w:ascii="Times New Roman" w:eastAsia="Times New Roman" w:hAnsi="Times New Roman" w:cs="Times New Roman"/>
          <w:spacing w:val="6"/>
          <w:sz w:val="24"/>
          <w:szCs w:val="24"/>
          <w:lang w:eastAsia="ru-RU"/>
        </w:rPr>
      </w:pPr>
      <w:r w:rsidRPr="00E73699">
        <w:rPr>
          <w:rFonts w:ascii="Times New Roman" w:eastAsia="Times New Roman" w:hAnsi="Times New Roman" w:cs="Times New Roman"/>
          <w:spacing w:val="6"/>
          <w:sz w:val="24"/>
          <w:szCs w:val="24"/>
          <w:lang w:eastAsia="ru-RU"/>
        </w:rPr>
        <w:t xml:space="preserve">Безвозмездные поступления в общем объеме поступивших в 2013 году доходов консолидированного бюджета области, составляют 52,9 процента. Уровень этого показателя за последние шесть лет в 2013 году является самым высоким. По сравнению с 2012 годом доля безвозмездных поступлений увеличилась на 19,4 процента. </w:t>
      </w:r>
    </w:p>
    <w:p w:rsidR="00BD3BC7" w:rsidRPr="00E73699" w:rsidRDefault="00BD3BC7" w:rsidP="00E73699">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E73699">
        <w:rPr>
          <w:rFonts w:ascii="Times New Roman" w:eastAsia="Times New Roman" w:hAnsi="Times New Roman" w:cs="Times New Roman"/>
          <w:spacing w:val="6"/>
          <w:sz w:val="24"/>
          <w:szCs w:val="24"/>
          <w:lang w:eastAsia="ru-RU"/>
        </w:rPr>
        <w:t xml:space="preserve">На </w:t>
      </w:r>
      <w:r w:rsidR="00E73699">
        <w:rPr>
          <w:rFonts w:ascii="Times New Roman" w:eastAsia="Times New Roman" w:hAnsi="Times New Roman" w:cs="Times New Roman"/>
          <w:spacing w:val="6"/>
          <w:sz w:val="24"/>
          <w:szCs w:val="24"/>
          <w:lang w:eastAsia="ru-RU"/>
        </w:rPr>
        <w:t>рисунке 8</w:t>
      </w:r>
      <w:r w:rsidRPr="00E73699">
        <w:rPr>
          <w:rFonts w:ascii="Times New Roman" w:eastAsia="Times New Roman" w:hAnsi="Times New Roman" w:cs="Times New Roman"/>
          <w:color w:val="FF0000"/>
          <w:spacing w:val="6"/>
          <w:sz w:val="24"/>
          <w:szCs w:val="24"/>
          <w:lang w:eastAsia="ru-RU"/>
        </w:rPr>
        <w:t xml:space="preserve"> </w:t>
      </w:r>
      <w:r w:rsidRPr="00E73699">
        <w:rPr>
          <w:rFonts w:ascii="Times New Roman" w:eastAsia="Times New Roman" w:hAnsi="Times New Roman" w:cs="Times New Roman"/>
          <w:spacing w:val="6"/>
          <w:sz w:val="24"/>
          <w:szCs w:val="24"/>
          <w:lang w:eastAsia="ru-RU"/>
        </w:rPr>
        <w:t>отражена динамика доли безвозмездных поступлений консолидированного бюджета в 2008-2013 годах.</w:t>
      </w:r>
    </w:p>
    <w:p w:rsidR="00BD3BC7" w:rsidRPr="006920AD" w:rsidRDefault="00BD3BC7" w:rsidP="00CB47B6">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A3671A">
        <w:rPr>
          <w:rFonts w:ascii="Times New Roman" w:eastAsia="Times New Roman" w:hAnsi="Times New Roman" w:cs="Times New Roman"/>
          <w:noProof/>
          <w:color w:val="FF0000"/>
          <w:sz w:val="20"/>
          <w:szCs w:val="20"/>
          <w:lang w:eastAsia="ru-RU"/>
        </w:rPr>
        <w:drawing>
          <wp:inline distT="0" distB="0" distL="0" distR="0" wp14:anchorId="13CC7DF8" wp14:editId="270940A7">
            <wp:extent cx="6124575" cy="3086100"/>
            <wp:effectExtent l="0" t="0" r="0" b="0"/>
            <wp:docPr id="2"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E73699">
        <w:rPr>
          <w:rFonts w:ascii="Times New Roman" w:eastAsia="Times New Roman" w:hAnsi="Times New Roman" w:cs="Times New Roman"/>
          <w:b/>
          <w:sz w:val="24"/>
          <w:szCs w:val="24"/>
          <w:lang w:eastAsia="ru-RU"/>
        </w:rPr>
        <w:t xml:space="preserve">Рис. </w:t>
      </w:r>
      <w:r w:rsidR="00E73699" w:rsidRPr="00E73699">
        <w:rPr>
          <w:rFonts w:ascii="Times New Roman" w:eastAsia="Times New Roman" w:hAnsi="Times New Roman" w:cs="Times New Roman"/>
          <w:b/>
          <w:sz w:val="24"/>
          <w:szCs w:val="24"/>
          <w:lang w:eastAsia="ru-RU"/>
        </w:rPr>
        <w:t>8</w:t>
      </w:r>
      <w:r w:rsidRPr="00E73699">
        <w:rPr>
          <w:rFonts w:ascii="Times New Roman" w:eastAsia="Times New Roman" w:hAnsi="Times New Roman" w:cs="Times New Roman"/>
          <w:b/>
          <w:sz w:val="24"/>
          <w:szCs w:val="24"/>
          <w:lang w:eastAsia="ru-RU"/>
        </w:rPr>
        <w:t xml:space="preserve"> –</w:t>
      </w:r>
      <w:r w:rsidRPr="006920AD">
        <w:rPr>
          <w:rFonts w:ascii="Times New Roman" w:eastAsia="Times New Roman" w:hAnsi="Times New Roman" w:cs="Times New Roman"/>
          <w:b/>
          <w:sz w:val="24"/>
          <w:szCs w:val="24"/>
          <w:lang w:eastAsia="ru-RU"/>
        </w:rPr>
        <w:t xml:space="preserve"> Динамика доли безвозмездных поступлений консолидированного бюджета в 200</w:t>
      </w:r>
      <w:r>
        <w:rPr>
          <w:rFonts w:ascii="Times New Roman" w:eastAsia="Times New Roman" w:hAnsi="Times New Roman" w:cs="Times New Roman"/>
          <w:b/>
          <w:sz w:val="24"/>
          <w:szCs w:val="24"/>
          <w:lang w:eastAsia="ru-RU"/>
        </w:rPr>
        <w:t>8</w:t>
      </w:r>
      <w:r w:rsidRPr="006920AD">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3</w:t>
      </w:r>
      <w:r w:rsidRPr="006920AD">
        <w:rPr>
          <w:rFonts w:ascii="Times New Roman" w:eastAsia="Times New Roman" w:hAnsi="Times New Roman" w:cs="Times New Roman"/>
          <w:b/>
          <w:sz w:val="24"/>
          <w:szCs w:val="24"/>
          <w:lang w:eastAsia="ru-RU"/>
        </w:rPr>
        <w:t xml:space="preserve"> годах, в процентах</w:t>
      </w:r>
    </w:p>
    <w:p w:rsidR="00BD3BC7" w:rsidRPr="0023348E" w:rsidRDefault="00BD3BC7" w:rsidP="002334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48E">
        <w:rPr>
          <w:rFonts w:ascii="Times New Roman" w:eastAsia="Times New Roman" w:hAnsi="Times New Roman" w:cs="Times New Roman"/>
          <w:sz w:val="24"/>
          <w:szCs w:val="24"/>
          <w:lang w:eastAsia="ru-RU"/>
        </w:rPr>
        <w:lastRenderedPageBreak/>
        <w:t xml:space="preserve">Расходы консолидированного бюджета в 2013 году возросли по сравнению с 2012 годом на 34,2 процента и составили 78530,4 млн. рублей. Уровень исполнения по расходам консолидированного бюджета составил 85,4 процента плановых назначений. </w:t>
      </w:r>
    </w:p>
    <w:p w:rsidR="00BD3BC7" w:rsidRPr="0023348E" w:rsidRDefault="00BD3BC7" w:rsidP="002334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348E">
        <w:rPr>
          <w:rFonts w:ascii="Times New Roman" w:eastAsia="Times New Roman" w:hAnsi="Times New Roman" w:cs="Times New Roman"/>
          <w:sz w:val="24"/>
          <w:szCs w:val="24"/>
          <w:lang w:eastAsia="ru-RU"/>
        </w:rPr>
        <w:t>Структура расходов консолидированного бюджета области за 2013 год представлена на</w:t>
      </w:r>
      <w:r w:rsidRPr="0023348E">
        <w:rPr>
          <w:rFonts w:ascii="Times New Roman" w:eastAsia="Times New Roman" w:hAnsi="Times New Roman" w:cs="Times New Roman"/>
          <w:color w:val="FF0000"/>
          <w:sz w:val="24"/>
          <w:szCs w:val="24"/>
          <w:lang w:eastAsia="ru-RU"/>
        </w:rPr>
        <w:t xml:space="preserve"> </w:t>
      </w:r>
      <w:r w:rsidR="0023348E" w:rsidRPr="0023348E">
        <w:rPr>
          <w:rFonts w:ascii="Times New Roman" w:eastAsia="Times New Roman" w:hAnsi="Times New Roman" w:cs="Times New Roman"/>
          <w:sz w:val="24"/>
          <w:szCs w:val="24"/>
          <w:lang w:eastAsia="ru-RU"/>
        </w:rPr>
        <w:t>рисунке 9</w:t>
      </w:r>
      <w:r w:rsidRPr="0023348E">
        <w:rPr>
          <w:rFonts w:ascii="Times New Roman" w:eastAsia="Times New Roman" w:hAnsi="Times New Roman" w:cs="Times New Roman"/>
          <w:sz w:val="24"/>
          <w:szCs w:val="24"/>
          <w:lang w:eastAsia="ru-RU"/>
        </w:rPr>
        <w:t>.</w:t>
      </w:r>
    </w:p>
    <w:p w:rsidR="00BD3BC7" w:rsidRPr="006920AD" w:rsidRDefault="00BD3BC7" w:rsidP="00CB47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71A">
        <w:rPr>
          <w:rFonts w:ascii="Times New Roman" w:eastAsia="Times New Roman" w:hAnsi="Times New Roman" w:cs="Times New Roman"/>
          <w:b/>
          <w:noProof/>
          <w:color w:val="FFC000"/>
          <w:sz w:val="20"/>
          <w:szCs w:val="20"/>
          <w:lang w:eastAsia="ru-RU"/>
        </w:rPr>
        <w:drawing>
          <wp:inline distT="0" distB="0" distL="0" distR="0" wp14:anchorId="0B844061" wp14:editId="6BA68854">
            <wp:extent cx="6115050" cy="44386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11047">
        <w:rPr>
          <w:rFonts w:ascii="Times New Roman" w:eastAsia="Times New Roman" w:hAnsi="Times New Roman" w:cs="Times New Roman"/>
          <w:b/>
          <w:sz w:val="24"/>
          <w:szCs w:val="24"/>
          <w:lang w:eastAsia="ru-RU"/>
        </w:rPr>
        <w:t xml:space="preserve">Рис. </w:t>
      </w:r>
      <w:r w:rsidR="00A11047" w:rsidRPr="00A11047">
        <w:rPr>
          <w:rFonts w:ascii="Times New Roman" w:eastAsia="Times New Roman" w:hAnsi="Times New Roman" w:cs="Times New Roman"/>
          <w:b/>
          <w:sz w:val="24"/>
          <w:szCs w:val="24"/>
          <w:lang w:eastAsia="ru-RU"/>
        </w:rPr>
        <w:t>9</w:t>
      </w:r>
      <w:r w:rsidRPr="00E8731C">
        <w:rPr>
          <w:rFonts w:ascii="Times New Roman" w:eastAsia="Times New Roman" w:hAnsi="Times New Roman" w:cs="Times New Roman"/>
          <w:b/>
          <w:color w:val="FF0000"/>
          <w:sz w:val="24"/>
          <w:szCs w:val="24"/>
          <w:lang w:eastAsia="ru-RU"/>
        </w:rPr>
        <w:t xml:space="preserve"> </w:t>
      </w:r>
      <w:r w:rsidRPr="006920AD">
        <w:rPr>
          <w:rFonts w:ascii="Times New Roman" w:eastAsia="Times New Roman" w:hAnsi="Times New Roman" w:cs="Times New Roman"/>
          <w:b/>
          <w:sz w:val="24"/>
          <w:szCs w:val="24"/>
          <w:lang w:eastAsia="ru-RU"/>
        </w:rPr>
        <w:t>- Структура расходов консолидированного бюджета области за 201</w:t>
      </w:r>
      <w:r>
        <w:rPr>
          <w:rFonts w:ascii="Times New Roman" w:eastAsia="Times New Roman" w:hAnsi="Times New Roman" w:cs="Times New Roman"/>
          <w:b/>
          <w:sz w:val="24"/>
          <w:szCs w:val="24"/>
          <w:lang w:eastAsia="ru-RU"/>
        </w:rPr>
        <w:t>3</w:t>
      </w:r>
      <w:r w:rsidRPr="006920AD">
        <w:rPr>
          <w:rFonts w:ascii="Times New Roman" w:eastAsia="Times New Roman" w:hAnsi="Times New Roman" w:cs="Times New Roman"/>
          <w:b/>
          <w:sz w:val="24"/>
          <w:szCs w:val="24"/>
          <w:lang w:eastAsia="ru-RU"/>
        </w:rPr>
        <w:t xml:space="preserve"> год</w:t>
      </w:r>
    </w:p>
    <w:p w:rsidR="00BD3BC7" w:rsidRPr="00D16B89" w:rsidRDefault="00BD3BC7" w:rsidP="00D16B89">
      <w:pPr>
        <w:spacing w:after="0" w:line="240" w:lineRule="auto"/>
        <w:ind w:firstLine="720"/>
        <w:jc w:val="both"/>
        <w:rPr>
          <w:rFonts w:ascii="Times New Roman" w:eastAsia="Times New Roman" w:hAnsi="Times New Roman" w:cs="Times New Roman"/>
          <w:sz w:val="24"/>
          <w:szCs w:val="24"/>
          <w:lang w:eastAsia="ru-RU"/>
        </w:rPr>
      </w:pPr>
      <w:r w:rsidRPr="00D16B89">
        <w:rPr>
          <w:rFonts w:ascii="Times New Roman" w:eastAsia="Times New Roman" w:hAnsi="Times New Roman" w:cs="Times New Roman"/>
          <w:sz w:val="24"/>
          <w:szCs w:val="24"/>
          <w:lang w:eastAsia="ru-RU"/>
        </w:rPr>
        <w:t>В структуре расходов консолидированного бюджета Амурской области наибольшую долю составляют социально-значимые расходы.</w:t>
      </w:r>
    </w:p>
    <w:p w:rsidR="00BD3BC7" w:rsidRPr="00D16B89" w:rsidRDefault="00BD3BC7" w:rsidP="00D16B8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D16B89">
        <w:rPr>
          <w:rFonts w:ascii="Times New Roman" w:eastAsia="Times New Roman" w:hAnsi="Times New Roman" w:cs="Times New Roman"/>
          <w:sz w:val="24"/>
          <w:szCs w:val="24"/>
          <w:lang w:eastAsia="ru-RU"/>
        </w:rPr>
        <w:t xml:space="preserve">Кроме того, значительный удельный вес в общем объеме расходов занимают расходы на национальную экономику – 22,9 процента и жилищно-коммунальное хозяйство - </w:t>
      </w:r>
      <w:r w:rsidR="00D16B89">
        <w:rPr>
          <w:rFonts w:ascii="Times New Roman" w:eastAsia="Times New Roman" w:hAnsi="Times New Roman" w:cs="Times New Roman"/>
          <w:sz w:val="24"/>
          <w:szCs w:val="24"/>
          <w:lang w:eastAsia="ru-RU"/>
        </w:rPr>
        <w:br/>
      </w:r>
      <w:r w:rsidRPr="00D16B89">
        <w:rPr>
          <w:rFonts w:ascii="Times New Roman" w:eastAsia="Times New Roman" w:hAnsi="Times New Roman" w:cs="Times New Roman"/>
          <w:sz w:val="24"/>
          <w:szCs w:val="24"/>
          <w:lang w:eastAsia="ru-RU"/>
        </w:rPr>
        <w:t>10,8 процента</w:t>
      </w:r>
      <w:r w:rsidRPr="00D16B89">
        <w:rPr>
          <w:rFonts w:ascii="Times New Roman" w:eastAsia="Times New Roman" w:hAnsi="Times New Roman" w:cs="Times New Roman"/>
          <w:color w:val="000000" w:themeColor="text1"/>
          <w:sz w:val="24"/>
          <w:szCs w:val="24"/>
          <w:lang w:eastAsia="ru-RU"/>
        </w:rPr>
        <w:t>.</w:t>
      </w:r>
    </w:p>
    <w:p w:rsidR="00BD3BC7" w:rsidRDefault="00BD3BC7" w:rsidP="00D16B89">
      <w:pPr>
        <w:spacing w:after="0" w:line="240" w:lineRule="auto"/>
        <w:ind w:firstLine="720"/>
        <w:jc w:val="both"/>
        <w:rPr>
          <w:rFonts w:ascii="Times New Roman" w:eastAsia="Times New Roman" w:hAnsi="Times New Roman" w:cs="Times New Roman"/>
          <w:sz w:val="24"/>
          <w:szCs w:val="24"/>
          <w:lang w:eastAsia="ru-RU"/>
        </w:rPr>
      </w:pPr>
      <w:r w:rsidRPr="00D16B89">
        <w:rPr>
          <w:rFonts w:ascii="Times New Roman" w:eastAsia="Times New Roman" w:hAnsi="Times New Roman" w:cs="Times New Roman"/>
          <w:sz w:val="24"/>
          <w:szCs w:val="24"/>
          <w:lang w:eastAsia="ru-RU"/>
        </w:rPr>
        <w:t xml:space="preserve">Как видно на </w:t>
      </w:r>
      <w:r w:rsidR="00D16B89">
        <w:rPr>
          <w:rFonts w:ascii="Times New Roman" w:eastAsia="Times New Roman" w:hAnsi="Times New Roman" w:cs="Times New Roman"/>
          <w:sz w:val="24"/>
          <w:szCs w:val="24"/>
          <w:lang w:eastAsia="ru-RU"/>
        </w:rPr>
        <w:t>рисунке 10</w:t>
      </w:r>
      <w:r w:rsidRPr="00D16B89">
        <w:rPr>
          <w:rFonts w:ascii="Times New Roman" w:eastAsia="Times New Roman" w:hAnsi="Times New Roman" w:cs="Times New Roman"/>
          <w:sz w:val="24"/>
          <w:szCs w:val="24"/>
          <w:lang w:eastAsia="ru-RU"/>
        </w:rPr>
        <w:t xml:space="preserve"> по итогам 2013 года консолидированный бюджет области исполнен с дефицитом в объеме 2813,2 млн. рублей при планируемом дефиците в сумме 12037,6 млн. рублей.</w:t>
      </w:r>
    </w:p>
    <w:p w:rsidR="00BD3BC7" w:rsidRPr="006920AD" w:rsidRDefault="00BD3BC7" w:rsidP="00CB47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671A">
        <w:rPr>
          <w:rFonts w:ascii="Times New Roman" w:eastAsia="Times New Roman" w:hAnsi="Times New Roman" w:cs="Times New Roman"/>
          <w:noProof/>
          <w:sz w:val="20"/>
          <w:szCs w:val="20"/>
          <w:lang w:eastAsia="ru-RU"/>
        </w:rPr>
        <w:drawing>
          <wp:inline distT="0" distB="0" distL="0" distR="0" wp14:anchorId="54BCC0D5" wp14:editId="683E9434">
            <wp:extent cx="6115050" cy="207645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3BC7" w:rsidRPr="006920AD" w:rsidRDefault="00BD3BC7" w:rsidP="00CB47B6">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BB6C41">
        <w:rPr>
          <w:rFonts w:ascii="Times New Roman" w:eastAsia="Times New Roman" w:hAnsi="Times New Roman" w:cs="Times New Roman"/>
          <w:b/>
          <w:sz w:val="24"/>
          <w:szCs w:val="24"/>
          <w:lang w:eastAsia="ru-RU"/>
        </w:rPr>
        <w:t xml:space="preserve">Рис. </w:t>
      </w:r>
      <w:r w:rsidR="00BB6C41" w:rsidRPr="00BB6C41">
        <w:rPr>
          <w:rFonts w:ascii="Times New Roman" w:eastAsia="Times New Roman" w:hAnsi="Times New Roman" w:cs="Times New Roman"/>
          <w:b/>
          <w:sz w:val="24"/>
          <w:szCs w:val="24"/>
          <w:lang w:eastAsia="ru-RU"/>
        </w:rPr>
        <w:t>10</w:t>
      </w:r>
      <w:r w:rsidRPr="00BD78CE">
        <w:rPr>
          <w:rFonts w:ascii="Times New Roman" w:eastAsia="Times New Roman" w:hAnsi="Times New Roman" w:cs="Times New Roman"/>
          <w:b/>
          <w:color w:val="FF0000"/>
          <w:sz w:val="24"/>
          <w:szCs w:val="24"/>
          <w:lang w:eastAsia="ru-RU"/>
        </w:rPr>
        <w:t xml:space="preserve"> </w:t>
      </w:r>
      <w:r w:rsidRPr="006920AD">
        <w:rPr>
          <w:rFonts w:ascii="Times New Roman" w:eastAsia="Times New Roman" w:hAnsi="Times New Roman" w:cs="Times New Roman"/>
          <w:sz w:val="24"/>
          <w:szCs w:val="24"/>
          <w:lang w:eastAsia="ru-RU"/>
        </w:rPr>
        <w:t xml:space="preserve">- </w:t>
      </w:r>
      <w:r w:rsidRPr="006920AD">
        <w:rPr>
          <w:rFonts w:ascii="Times New Roman" w:eastAsia="Times New Roman" w:hAnsi="Times New Roman" w:cs="Times New Roman"/>
          <w:b/>
          <w:sz w:val="24"/>
          <w:szCs w:val="24"/>
          <w:lang w:eastAsia="ru-RU"/>
        </w:rPr>
        <w:t>Динамика исполнения консолидированного бюджета (дефицит, профицит) за 200</w:t>
      </w:r>
      <w:r>
        <w:rPr>
          <w:rFonts w:ascii="Times New Roman" w:eastAsia="Times New Roman" w:hAnsi="Times New Roman" w:cs="Times New Roman"/>
          <w:b/>
          <w:sz w:val="24"/>
          <w:szCs w:val="24"/>
          <w:lang w:eastAsia="ru-RU"/>
        </w:rPr>
        <w:t>8</w:t>
      </w:r>
      <w:r w:rsidRPr="006920AD">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3</w:t>
      </w:r>
      <w:r w:rsidRPr="006920AD">
        <w:rPr>
          <w:rFonts w:ascii="Times New Roman" w:eastAsia="Times New Roman" w:hAnsi="Times New Roman" w:cs="Times New Roman"/>
          <w:b/>
          <w:sz w:val="24"/>
          <w:szCs w:val="24"/>
          <w:lang w:eastAsia="ru-RU"/>
        </w:rPr>
        <w:t xml:space="preserve"> годы, млн. рублей</w:t>
      </w:r>
    </w:p>
    <w:p w:rsidR="00D721B2" w:rsidRPr="008B4457" w:rsidRDefault="00D721B2" w:rsidP="00D721B2">
      <w:pPr>
        <w:spacing w:after="0" w:line="240" w:lineRule="auto"/>
        <w:ind w:firstLine="709"/>
        <w:jc w:val="both"/>
        <w:rPr>
          <w:rFonts w:ascii="Times New Roman" w:eastAsia="Times New Roman" w:hAnsi="Times New Roman" w:cs="Times New Roman"/>
          <w:sz w:val="24"/>
          <w:szCs w:val="24"/>
          <w:lang w:eastAsia="ru-RU"/>
        </w:rPr>
      </w:pPr>
      <w:r w:rsidRPr="00A3671A">
        <w:rPr>
          <w:rFonts w:ascii="Times New Roman" w:eastAsia="Times New Roman" w:hAnsi="Times New Roman" w:cs="Times New Roman"/>
          <w:b/>
          <w:sz w:val="24"/>
          <w:szCs w:val="24"/>
          <w:lang w:eastAsia="ru-RU"/>
        </w:rPr>
        <w:lastRenderedPageBreak/>
        <w:t>3. Исполнение областного бюджета за 201</w:t>
      </w:r>
      <w:r>
        <w:rPr>
          <w:rFonts w:ascii="Times New Roman" w:eastAsia="Times New Roman" w:hAnsi="Times New Roman" w:cs="Times New Roman"/>
          <w:b/>
          <w:sz w:val="24"/>
          <w:szCs w:val="24"/>
          <w:lang w:eastAsia="ru-RU"/>
        </w:rPr>
        <w:t>3</w:t>
      </w:r>
      <w:r w:rsidRPr="00A3671A">
        <w:rPr>
          <w:rFonts w:ascii="Times New Roman" w:eastAsia="Times New Roman" w:hAnsi="Times New Roman" w:cs="Times New Roman"/>
          <w:b/>
          <w:sz w:val="24"/>
          <w:szCs w:val="24"/>
          <w:lang w:eastAsia="ru-RU"/>
        </w:rPr>
        <w:t xml:space="preserve"> год по доходам</w:t>
      </w:r>
    </w:p>
    <w:p w:rsidR="00BC5F33" w:rsidRPr="00BC5F33" w:rsidRDefault="00BC5F33" w:rsidP="00BC5F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F33">
        <w:rPr>
          <w:rFonts w:ascii="Times New Roman" w:eastAsia="Times New Roman" w:hAnsi="Times New Roman" w:cs="Times New Roman"/>
          <w:sz w:val="24"/>
          <w:szCs w:val="24"/>
          <w:lang w:eastAsia="ru-RU"/>
        </w:rPr>
        <w:t xml:space="preserve">Исполнение областного бюджета за 2013 год по доходам составило </w:t>
      </w:r>
      <w:r w:rsidRPr="002B7865">
        <w:rPr>
          <w:rFonts w:ascii="Times New Roman" w:eastAsia="Times New Roman" w:hAnsi="Times New Roman" w:cs="Times New Roman"/>
          <w:sz w:val="24"/>
          <w:szCs w:val="24"/>
          <w:lang w:eastAsia="ru-RU"/>
        </w:rPr>
        <w:t>66775,1</w:t>
      </w:r>
      <w:r w:rsidRPr="00BC5F33">
        <w:rPr>
          <w:rFonts w:ascii="Times New Roman" w:eastAsia="Times New Roman" w:hAnsi="Times New Roman" w:cs="Times New Roman"/>
          <w:sz w:val="24"/>
          <w:szCs w:val="24"/>
          <w:lang w:eastAsia="ru-RU"/>
        </w:rPr>
        <w:t xml:space="preserve"> млн. рублей, или 141,8 процента к годовым плановым назначениям.</w:t>
      </w:r>
    </w:p>
    <w:p w:rsidR="00BC5F33" w:rsidRPr="00BC5F33" w:rsidRDefault="00BC5F33" w:rsidP="00BC5F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C5F33">
        <w:rPr>
          <w:rFonts w:ascii="Times New Roman" w:eastAsia="Times New Roman" w:hAnsi="Times New Roman" w:cs="Times New Roman"/>
          <w:color w:val="000000"/>
          <w:sz w:val="24"/>
          <w:szCs w:val="24"/>
          <w:lang w:eastAsia="ru-RU"/>
        </w:rPr>
        <w:t xml:space="preserve">В целом в 2013 году объем поступлений доходов областного бюджета превысил уровень поступлений 2012 года на 22792,3 млн. рублей, или в 1,5 раза, в том числе налоговые и неналоговые доходы возросли незначительно на 76,6 млн. рублей, или </w:t>
      </w:r>
      <w:r>
        <w:rPr>
          <w:rFonts w:ascii="Times New Roman" w:eastAsia="Times New Roman" w:hAnsi="Times New Roman" w:cs="Times New Roman"/>
          <w:color w:val="000000"/>
          <w:sz w:val="24"/>
          <w:szCs w:val="24"/>
          <w:lang w:eastAsia="ru-RU"/>
        </w:rPr>
        <w:br/>
      </w:r>
      <w:r w:rsidRPr="00BC5F33">
        <w:rPr>
          <w:rFonts w:ascii="Times New Roman" w:eastAsia="Times New Roman" w:hAnsi="Times New Roman" w:cs="Times New Roman"/>
          <w:color w:val="000000"/>
          <w:sz w:val="24"/>
          <w:szCs w:val="24"/>
          <w:lang w:eastAsia="ru-RU"/>
        </w:rPr>
        <w:t>0,3 процента, рост объема безвозмездных поступлений составляет 22715,7 млн. рублей, или в 2,3 раза.</w:t>
      </w:r>
      <w:proofErr w:type="gramEnd"/>
    </w:p>
    <w:p w:rsidR="00BC5F33" w:rsidRPr="00CB47B6" w:rsidRDefault="00BC5F33" w:rsidP="00BC5F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C5F33">
        <w:rPr>
          <w:rFonts w:ascii="Times New Roman" w:eastAsia="Times New Roman" w:hAnsi="Times New Roman" w:cs="Times New Roman"/>
          <w:color w:val="000000"/>
          <w:sz w:val="24"/>
          <w:szCs w:val="24"/>
          <w:lang w:eastAsia="ru-RU"/>
        </w:rPr>
        <w:t xml:space="preserve">Структура поступлений доходов областного бюджета представлена </w:t>
      </w:r>
      <w:r w:rsidRPr="00BC5F33">
        <w:rPr>
          <w:rFonts w:ascii="Times New Roman" w:eastAsia="Times New Roman" w:hAnsi="Times New Roman" w:cs="Times New Roman"/>
          <w:sz w:val="24"/>
          <w:szCs w:val="24"/>
          <w:lang w:eastAsia="ru-RU"/>
        </w:rPr>
        <w:t xml:space="preserve">диаграммой на </w:t>
      </w:r>
      <w:r>
        <w:rPr>
          <w:rFonts w:ascii="Times New Roman" w:eastAsia="Times New Roman" w:hAnsi="Times New Roman" w:cs="Times New Roman"/>
          <w:sz w:val="24"/>
          <w:szCs w:val="24"/>
          <w:lang w:eastAsia="ru-RU"/>
        </w:rPr>
        <w:t>рисунке 11</w:t>
      </w:r>
      <w:r w:rsidRPr="00BC5F33">
        <w:rPr>
          <w:rFonts w:ascii="Times New Roman" w:eastAsia="Times New Roman" w:hAnsi="Times New Roman" w:cs="Times New Roman"/>
          <w:sz w:val="24"/>
          <w:szCs w:val="24"/>
          <w:lang w:eastAsia="ru-RU"/>
        </w:rPr>
        <w:t>.</w:t>
      </w:r>
    </w:p>
    <w:p w:rsidR="00CB47B6" w:rsidRDefault="00BC5F33" w:rsidP="00BC5F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71A">
        <w:rPr>
          <w:rFonts w:ascii="Times New Roman" w:eastAsia="Times New Roman" w:hAnsi="Times New Roman" w:cs="Times New Roman"/>
          <w:noProof/>
          <w:sz w:val="24"/>
          <w:szCs w:val="24"/>
          <w:lang w:eastAsia="ru-RU"/>
        </w:rPr>
        <w:drawing>
          <wp:inline distT="0" distB="0" distL="0" distR="0" wp14:anchorId="1112A7D2" wp14:editId="13BCCFB9">
            <wp:extent cx="5972175" cy="4019550"/>
            <wp:effectExtent l="0" t="0" r="0" b="0"/>
            <wp:docPr id="46"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47B6" w:rsidRDefault="00CB47B6" w:rsidP="00BC5F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C5F33" w:rsidRPr="006920AD" w:rsidRDefault="003F4941" w:rsidP="00BC5F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Рис.11 </w:t>
      </w:r>
      <w:r w:rsidR="00BC5F33" w:rsidRPr="00097BE3">
        <w:rPr>
          <w:rFonts w:ascii="Times New Roman" w:eastAsia="Times New Roman" w:hAnsi="Times New Roman" w:cs="Times New Roman"/>
          <w:b/>
          <w:sz w:val="24"/>
          <w:szCs w:val="24"/>
          <w:lang w:eastAsia="ru-RU"/>
        </w:rPr>
        <w:t xml:space="preserve">– </w:t>
      </w:r>
      <w:r w:rsidR="00BC5F33" w:rsidRPr="006920AD">
        <w:rPr>
          <w:rFonts w:ascii="Times New Roman" w:eastAsia="Times New Roman" w:hAnsi="Times New Roman" w:cs="Times New Roman"/>
          <w:b/>
          <w:sz w:val="24"/>
          <w:szCs w:val="24"/>
          <w:lang w:eastAsia="ru-RU"/>
        </w:rPr>
        <w:t>Структура доходов областного бюджета, поступивших в 201</w:t>
      </w:r>
      <w:r w:rsidR="00BC5F33">
        <w:rPr>
          <w:rFonts w:ascii="Times New Roman" w:eastAsia="Times New Roman" w:hAnsi="Times New Roman" w:cs="Times New Roman"/>
          <w:b/>
          <w:sz w:val="24"/>
          <w:szCs w:val="24"/>
          <w:lang w:eastAsia="ru-RU"/>
        </w:rPr>
        <w:t>3</w:t>
      </w:r>
      <w:r w:rsidR="00BC5F33" w:rsidRPr="006920AD">
        <w:rPr>
          <w:rFonts w:ascii="Times New Roman" w:eastAsia="Times New Roman" w:hAnsi="Times New Roman" w:cs="Times New Roman"/>
          <w:b/>
          <w:sz w:val="24"/>
          <w:szCs w:val="24"/>
          <w:lang w:eastAsia="ru-RU"/>
        </w:rPr>
        <w:t xml:space="preserve"> году, в процентах</w:t>
      </w:r>
    </w:p>
    <w:p w:rsidR="00BC5F33" w:rsidRPr="006920AD" w:rsidRDefault="00BC5F33" w:rsidP="00BC5F33">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rsidR="00BC5F33" w:rsidRPr="003F4941" w:rsidRDefault="00BC5F33" w:rsidP="003F49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F4941">
        <w:rPr>
          <w:rFonts w:ascii="Times New Roman" w:eastAsia="Times New Roman" w:hAnsi="Times New Roman" w:cs="Times New Roman"/>
          <w:sz w:val="24"/>
          <w:szCs w:val="24"/>
          <w:lang w:eastAsia="ru-RU"/>
        </w:rPr>
        <w:t>На протяжении последних четырех лет (2009-2012 годы) наблюдается тенденция устойчивого роста объема поступлений в доход областного бюджета основных налоговых доходов (налога на прибыль организаций, налога на доходы физических лиц, налога на имущество организаций, акцизов по подакцизным товарам (продукции), производимым на территории Российской Федерации, налога на добычу полезных ископаемых, налогов на совокупный доход</w:t>
      </w:r>
      <w:r w:rsidRPr="003F4941">
        <w:rPr>
          <w:rFonts w:ascii="Times New Roman" w:eastAsia="Times New Roman" w:hAnsi="Times New Roman" w:cs="Times New Roman"/>
          <w:i/>
          <w:sz w:val="24"/>
          <w:szCs w:val="24"/>
          <w:lang w:eastAsia="ru-RU"/>
        </w:rPr>
        <w:t>)</w:t>
      </w:r>
      <w:r w:rsidRPr="003F4941">
        <w:rPr>
          <w:rFonts w:ascii="Times New Roman" w:eastAsia="Times New Roman" w:hAnsi="Times New Roman" w:cs="Times New Roman"/>
          <w:sz w:val="24"/>
          <w:szCs w:val="24"/>
          <w:lang w:eastAsia="ru-RU"/>
        </w:rPr>
        <w:t xml:space="preserve">, что представлено на </w:t>
      </w:r>
      <w:r w:rsidR="003F4941" w:rsidRPr="003F4941">
        <w:rPr>
          <w:rFonts w:ascii="Times New Roman" w:eastAsia="Times New Roman" w:hAnsi="Times New Roman" w:cs="Times New Roman"/>
          <w:sz w:val="24"/>
          <w:szCs w:val="24"/>
          <w:lang w:eastAsia="ru-RU"/>
        </w:rPr>
        <w:t>рисунке 12</w:t>
      </w:r>
      <w:r w:rsidRPr="003F4941">
        <w:rPr>
          <w:rFonts w:ascii="Times New Roman" w:eastAsia="Times New Roman" w:hAnsi="Times New Roman" w:cs="Times New Roman"/>
          <w:sz w:val="24"/>
          <w:szCs w:val="24"/>
          <w:lang w:eastAsia="ru-RU"/>
        </w:rPr>
        <w:t>.</w:t>
      </w:r>
      <w:proofErr w:type="gramEnd"/>
      <w:r w:rsidRPr="003F4941">
        <w:rPr>
          <w:rFonts w:ascii="Times New Roman" w:eastAsia="Times New Roman" w:hAnsi="Times New Roman" w:cs="Times New Roman"/>
          <w:sz w:val="24"/>
          <w:szCs w:val="24"/>
          <w:lang w:eastAsia="ru-RU"/>
        </w:rPr>
        <w:t xml:space="preserve"> По отдельным налоговым доходам областного бюджета </w:t>
      </w:r>
      <w:r w:rsidRPr="00FC3FD2">
        <w:rPr>
          <w:rFonts w:ascii="Times New Roman" w:eastAsia="Times New Roman" w:hAnsi="Times New Roman" w:cs="Times New Roman"/>
          <w:sz w:val="24"/>
          <w:szCs w:val="24"/>
          <w:lang w:eastAsia="ru-RU"/>
        </w:rPr>
        <w:t>(налог на прибыль организаций, налог на добычу полезных ископаемых)</w:t>
      </w:r>
      <w:r w:rsidRPr="003F4941">
        <w:rPr>
          <w:rFonts w:ascii="Times New Roman" w:eastAsia="Times New Roman" w:hAnsi="Times New Roman" w:cs="Times New Roman"/>
          <w:sz w:val="24"/>
          <w:szCs w:val="24"/>
          <w:lang w:eastAsia="ru-RU"/>
        </w:rPr>
        <w:t xml:space="preserve">  в 2013 году наблюдается снижение объема поступлений по сравнению с </w:t>
      </w:r>
      <w:r w:rsidR="00FC3FD2">
        <w:rPr>
          <w:rFonts w:ascii="Times New Roman" w:eastAsia="Times New Roman" w:hAnsi="Times New Roman" w:cs="Times New Roman"/>
          <w:sz w:val="24"/>
          <w:szCs w:val="24"/>
          <w:lang w:eastAsia="ru-RU"/>
        </w:rPr>
        <w:br/>
      </w:r>
      <w:r w:rsidRPr="003F4941">
        <w:rPr>
          <w:rFonts w:ascii="Times New Roman" w:eastAsia="Times New Roman" w:hAnsi="Times New Roman" w:cs="Times New Roman"/>
          <w:sz w:val="24"/>
          <w:szCs w:val="24"/>
          <w:lang w:eastAsia="ru-RU"/>
        </w:rPr>
        <w:t>2012 годом.</w:t>
      </w:r>
    </w:p>
    <w:p w:rsidR="00BC5F33" w:rsidRPr="003F4941" w:rsidRDefault="00BC5F33" w:rsidP="003F4941">
      <w:pPr>
        <w:spacing w:after="0" w:line="240" w:lineRule="auto"/>
        <w:ind w:firstLine="720"/>
        <w:jc w:val="both"/>
        <w:rPr>
          <w:rFonts w:ascii="Times New Roman" w:hAnsi="Times New Roman" w:cs="Times New Roman"/>
          <w:sz w:val="24"/>
          <w:szCs w:val="24"/>
        </w:rPr>
      </w:pPr>
      <w:r w:rsidRPr="003F4941">
        <w:rPr>
          <w:rFonts w:ascii="Times New Roman" w:eastAsia="Times New Roman" w:hAnsi="Times New Roman" w:cs="Times New Roman"/>
          <w:sz w:val="24"/>
          <w:szCs w:val="24"/>
          <w:lang w:eastAsia="ru-RU"/>
        </w:rPr>
        <w:t>Практически по всем налоговым доходам областного бюджета наблюдается выполнение, а также  перевыполнение плановых назначений 2013 года.</w:t>
      </w:r>
      <w:r w:rsidRPr="003F4941">
        <w:rPr>
          <w:rFonts w:ascii="Times New Roman" w:hAnsi="Times New Roman" w:cs="Times New Roman"/>
          <w:sz w:val="24"/>
          <w:szCs w:val="24"/>
        </w:rPr>
        <w:t xml:space="preserve"> </w:t>
      </w:r>
    </w:p>
    <w:p w:rsidR="00BC5F33" w:rsidRPr="003F4941" w:rsidRDefault="00BC5F33" w:rsidP="003F4941">
      <w:pPr>
        <w:spacing w:after="0" w:line="240" w:lineRule="auto"/>
        <w:ind w:firstLine="720"/>
        <w:jc w:val="both"/>
        <w:rPr>
          <w:rFonts w:ascii="Times New Roman" w:hAnsi="Times New Roman" w:cs="Times New Roman"/>
          <w:sz w:val="24"/>
          <w:szCs w:val="24"/>
        </w:rPr>
      </w:pPr>
      <w:r w:rsidRPr="003F4941">
        <w:rPr>
          <w:rFonts w:ascii="Times New Roman" w:hAnsi="Times New Roman" w:cs="Times New Roman"/>
          <w:sz w:val="24"/>
          <w:szCs w:val="24"/>
        </w:rPr>
        <w:t xml:space="preserve">Недовыполнение плановых назначений 2013 года сложилось по налогу на прибыль организаций, акцизам по подакцизным товарам (продукции), производимым на территории Российской Федерации, </w:t>
      </w:r>
      <w:r w:rsidRPr="003F4941">
        <w:rPr>
          <w:rFonts w:ascii="Times New Roman" w:hAnsi="Times New Roman" w:cs="Times New Roman"/>
          <w:spacing w:val="6"/>
          <w:sz w:val="24"/>
          <w:szCs w:val="24"/>
        </w:rPr>
        <w:t>что оказало существенное влияние в целом на недовыполнение плановых показателей 2013 года по налоговым доходам областного бюджета.</w:t>
      </w:r>
    </w:p>
    <w:p w:rsidR="00BC5F33" w:rsidRPr="003F4941" w:rsidRDefault="00BC5F33" w:rsidP="003F49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C5F33" w:rsidRPr="006920AD" w:rsidRDefault="00BC5F33" w:rsidP="00CB47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71A">
        <w:rPr>
          <w:rFonts w:ascii="Times New Roman" w:eastAsia="Times New Roman" w:hAnsi="Times New Roman" w:cs="Times New Roman"/>
          <w:noProof/>
          <w:color w:val="DBE5F1"/>
          <w:sz w:val="24"/>
          <w:szCs w:val="24"/>
          <w:lang w:eastAsia="ru-RU"/>
        </w:rPr>
        <w:lastRenderedPageBreak/>
        <w:drawing>
          <wp:inline distT="0" distB="0" distL="0" distR="0" wp14:anchorId="3564E17C" wp14:editId="7A2B2118">
            <wp:extent cx="6153150" cy="4200525"/>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FC3FD2">
        <w:rPr>
          <w:rFonts w:ascii="Times New Roman" w:eastAsia="Times New Roman" w:hAnsi="Times New Roman" w:cs="Times New Roman"/>
          <w:b/>
          <w:sz w:val="24"/>
          <w:szCs w:val="24"/>
          <w:lang w:eastAsia="ru-RU"/>
        </w:rPr>
        <w:t xml:space="preserve">Рис. </w:t>
      </w:r>
      <w:r w:rsidR="00FC3FD2" w:rsidRPr="00FC3FD2">
        <w:rPr>
          <w:rFonts w:ascii="Times New Roman" w:eastAsia="Times New Roman" w:hAnsi="Times New Roman" w:cs="Times New Roman"/>
          <w:b/>
          <w:sz w:val="24"/>
          <w:szCs w:val="24"/>
          <w:lang w:eastAsia="ru-RU"/>
        </w:rPr>
        <w:t>12</w:t>
      </w:r>
      <w:r w:rsidRPr="00FC3FD2">
        <w:rPr>
          <w:rFonts w:ascii="Times New Roman" w:eastAsia="Times New Roman" w:hAnsi="Times New Roman" w:cs="Times New Roman"/>
          <w:sz w:val="24"/>
          <w:szCs w:val="24"/>
          <w:lang w:eastAsia="ru-RU"/>
        </w:rPr>
        <w:t xml:space="preserve"> -</w:t>
      </w:r>
      <w:r w:rsidRPr="006920AD">
        <w:rPr>
          <w:rFonts w:ascii="Times New Roman" w:eastAsia="Times New Roman" w:hAnsi="Times New Roman" w:cs="Times New Roman"/>
          <w:sz w:val="24"/>
          <w:szCs w:val="24"/>
          <w:lang w:eastAsia="ru-RU"/>
        </w:rPr>
        <w:t xml:space="preserve"> </w:t>
      </w:r>
      <w:r w:rsidRPr="006920AD">
        <w:rPr>
          <w:rFonts w:ascii="Times New Roman" w:eastAsia="Times New Roman" w:hAnsi="Times New Roman" w:cs="Times New Roman"/>
          <w:b/>
          <w:sz w:val="24"/>
          <w:szCs w:val="24"/>
          <w:lang w:eastAsia="ru-RU"/>
        </w:rPr>
        <w:t>Динамика объема поступлений основных налоговых доходов областного бюджета за 200</w:t>
      </w:r>
      <w:r>
        <w:rPr>
          <w:rFonts w:ascii="Times New Roman" w:eastAsia="Times New Roman" w:hAnsi="Times New Roman" w:cs="Times New Roman"/>
          <w:b/>
          <w:sz w:val="24"/>
          <w:szCs w:val="24"/>
          <w:lang w:eastAsia="ru-RU"/>
        </w:rPr>
        <w:t>9</w:t>
      </w:r>
      <w:r w:rsidRPr="006920AD">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3</w:t>
      </w:r>
      <w:r w:rsidR="00CB47B6">
        <w:rPr>
          <w:rFonts w:ascii="Times New Roman" w:eastAsia="Times New Roman" w:hAnsi="Times New Roman" w:cs="Times New Roman"/>
          <w:b/>
          <w:sz w:val="24"/>
          <w:szCs w:val="24"/>
          <w:lang w:eastAsia="ru-RU"/>
        </w:rPr>
        <w:t xml:space="preserve"> годы, млн. рублей</w:t>
      </w:r>
    </w:p>
    <w:p w:rsidR="00BC5F33" w:rsidRPr="00FC3FD2" w:rsidRDefault="00BC5F33" w:rsidP="00FC3FD2">
      <w:pPr>
        <w:spacing w:after="0" w:line="240" w:lineRule="auto"/>
        <w:ind w:firstLine="720"/>
        <w:jc w:val="both"/>
        <w:rPr>
          <w:rFonts w:ascii="Times New Roman" w:hAnsi="Times New Roman" w:cs="Times New Roman"/>
          <w:sz w:val="24"/>
          <w:szCs w:val="24"/>
        </w:rPr>
      </w:pPr>
      <w:r w:rsidRPr="00FC3FD2">
        <w:rPr>
          <w:rFonts w:ascii="Times New Roman" w:hAnsi="Times New Roman" w:cs="Times New Roman"/>
          <w:sz w:val="24"/>
          <w:szCs w:val="24"/>
        </w:rPr>
        <w:t xml:space="preserve">Неналоговые доходы поступили за 2013  год в общей сумме </w:t>
      </w:r>
      <w:r w:rsidRPr="002B7865">
        <w:rPr>
          <w:rFonts w:ascii="Times New Roman" w:hAnsi="Times New Roman" w:cs="Times New Roman"/>
          <w:sz w:val="24"/>
          <w:szCs w:val="24"/>
        </w:rPr>
        <w:t>625,2</w:t>
      </w:r>
      <w:r w:rsidRPr="00FC3FD2">
        <w:rPr>
          <w:rFonts w:ascii="Times New Roman" w:hAnsi="Times New Roman" w:cs="Times New Roman"/>
          <w:sz w:val="24"/>
          <w:szCs w:val="24"/>
        </w:rPr>
        <w:t xml:space="preserve"> млн. рублей, или 102,4 процента плановых назначений.</w:t>
      </w:r>
    </w:p>
    <w:p w:rsidR="00BC5F33" w:rsidRPr="00CB47B6" w:rsidRDefault="00BC5F33" w:rsidP="00FC3FD2">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C3FD2">
        <w:rPr>
          <w:rFonts w:ascii="Times New Roman" w:eastAsia="Times New Roman" w:hAnsi="Times New Roman" w:cs="Times New Roman"/>
          <w:sz w:val="24"/>
          <w:szCs w:val="24"/>
          <w:lang w:eastAsia="ru-RU"/>
        </w:rPr>
        <w:t xml:space="preserve">Структура неналоговых доходов, поступивших в областной бюджет в 2013 году, представлена на </w:t>
      </w:r>
      <w:r w:rsidR="00363AA2">
        <w:rPr>
          <w:rFonts w:ascii="Times New Roman" w:eastAsia="Times New Roman" w:hAnsi="Times New Roman" w:cs="Times New Roman"/>
          <w:sz w:val="24"/>
          <w:szCs w:val="24"/>
          <w:lang w:eastAsia="ru-RU"/>
        </w:rPr>
        <w:t>рисунке 13</w:t>
      </w:r>
      <w:r w:rsidRPr="00634D7D">
        <w:rPr>
          <w:rFonts w:ascii="Times New Roman" w:eastAsia="Times New Roman" w:hAnsi="Times New Roman" w:cs="Times New Roman"/>
          <w:sz w:val="24"/>
          <w:szCs w:val="24"/>
          <w:lang w:eastAsia="ru-RU"/>
        </w:rPr>
        <w:t>.</w:t>
      </w:r>
    </w:p>
    <w:p w:rsidR="00BC5F33" w:rsidRDefault="00BC5F33" w:rsidP="00CB4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71A">
        <w:rPr>
          <w:rFonts w:ascii="Times New Roman" w:eastAsia="Times New Roman" w:hAnsi="Times New Roman" w:cs="Times New Roman"/>
          <w:noProof/>
          <w:sz w:val="24"/>
          <w:szCs w:val="24"/>
          <w:lang w:eastAsia="ru-RU"/>
        </w:rPr>
        <w:drawing>
          <wp:inline distT="0" distB="0" distL="0" distR="0" wp14:anchorId="3E2D1A5E" wp14:editId="63596C07">
            <wp:extent cx="6153150" cy="35433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5F33" w:rsidRDefault="00BC5F33" w:rsidP="00BC5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C5F33" w:rsidRPr="006920AD" w:rsidRDefault="00BC5F33" w:rsidP="00BC5F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4D7D">
        <w:rPr>
          <w:rFonts w:ascii="Times New Roman" w:eastAsia="Times New Roman" w:hAnsi="Times New Roman" w:cs="Times New Roman"/>
          <w:b/>
          <w:sz w:val="24"/>
          <w:szCs w:val="24"/>
          <w:lang w:eastAsia="ru-RU"/>
        </w:rPr>
        <w:t>Рис.</w:t>
      </w:r>
      <w:r w:rsidR="00634D7D" w:rsidRPr="00634D7D">
        <w:rPr>
          <w:rFonts w:ascii="Times New Roman" w:eastAsia="Times New Roman" w:hAnsi="Times New Roman" w:cs="Times New Roman"/>
          <w:b/>
          <w:sz w:val="24"/>
          <w:szCs w:val="24"/>
          <w:lang w:eastAsia="ru-RU"/>
        </w:rPr>
        <w:t>13</w:t>
      </w:r>
      <w:r w:rsidRPr="00257C59">
        <w:rPr>
          <w:rFonts w:ascii="Times New Roman" w:eastAsia="Times New Roman" w:hAnsi="Times New Roman" w:cs="Times New Roman"/>
          <w:b/>
          <w:color w:val="FF0000"/>
          <w:sz w:val="24"/>
          <w:szCs w:val="24"/>
          <w:lang w:eastAsia="ru-RU"/>
        </w:rPr>
        <w:t xml:space="preserve"> </w:t>
      </w:r>
      <w:r w:rsidRPr="00097BE3">
        <w:rPr>
          <w:rFonts w:ascii="Times New Roman" w:eastAsia="Times New Roman" w:hAnsi="Times New Roman" w:cs="Times New Roman"/>
          <w:b/>
          <w:sz w:val="24"/>
          <w:szCs w:val="24"/>
          <w:lang w:eastAsia="ru-RU"/>
        </w:rPr>
        <w:t xml:space="preserve">– </w:t>
      </w:r>
      <w:r w:rsidRPr="006920AD">
        <w:rPr>
          <w:rFonts w:ascii="Times New Roman" w:eastAsia="Times New Roman" w:hAnsi="Times New Roman" w:cs="Times New Roman"/>
          <w:b/>
          <w:sz w:val="24"/>
          <w:szCs w:val="24"/>
          <w:lang w:eastAsia="ru-RU"/>
        </w:rPr>
        <w:t xml:space="preserve">Структура </w:t>
      </w:r>
      <w:r>
        <w:rPr>
          <w:rFonts w:ascii="Times New Roman" w:eastAsia="Times New Roman" w:hAnsi="Times New Roman" w:cs="Times New Roman"/>
          <w:b/>
          <w:sz w:val="24"/>
          <w:szCs w:val="24"/>
          <w:lang w:eastAsia="ru-RU"/>
        </w:rPr>
        <w:t xml:space="preserve">неналоговых </w:t>
      </w:r>
      <w:r w:rsidRPr="006920AD">
        <w:rPr>
          <w:rFonts w:ascii="Times New Roman" w:eastAsia="Times New Roman" w:hAnsi="Times New Roman" w:cs="Times New Roman"/>
          <w:b/>
          <w:sz w:val="24"/>
          <w:szCs w:val="24"/>
          <w:lang w:eastAsia="ru-RU"/>
        </w:rPr>
        <w:t>доходов областного бюджета, поступивших в 201</w:t>
      </w:r>
      <w:r>
        <w:rPr>
          <w:rFonts w:ascii="Times New Roman" w:eastAsia="Times New Roman" w:hAnsi="Times New Roman" w:cs="Times New Roman"/>
          <w:b/>
          <w:sz w:val="24"/>
          <w:szCs w:val="24"/>
          <w:lang w:eastAsia="ru-RU"/>
        </w:rPr>
        <w:t>3</w:t>
      </w:r>
      <w:r w:rsidRPr="006920AD">
        <w:rPr>
          <w:rFonts w:ascii="Times New Roman" w:eastAsia="Times New Roman" w:hAnsi="Times New Roman" w:cs="Times New Roman"/>
          <w:b/>
          <w:sz w:val="24"/>
          <w:szCs w:val="24"/>
          <w:lang w:eastAsia="ru-RU"/>
        </w:rPr>
        <w:t xml:space="preserve"> году, в процентах</w:t>
      </w:r>
    </w:p>
    <w:p w:rsidR="00A16E6C" w:rsidRPr="00957B46" w:rsidRDefault="00A16E6C" w:rsidP="00A16E6C">
      <w:pPr>
        <w:spacing w:after="0" w:line="240" w:lineRule="auto"/>
        <w:ind w:firstLine="709"/>
        <w:jc w:val="both"/>
        <w:rPr>
          <w:rFonts w:ascii="Times New Roman" w:hAnsi="Times New Roman" w:cs="Times New Roman"/>
          <w:b/>
          <w:i/>
          <w:snapToGrid w:val="0"/>
          <w:sz w:val="24"/>
        </w:rPr>
      </w:pPr>
      <w:r>
        <w:rPr>
          <w:rFonts w:ascii="Times New Roman" w:hAnsi="Times New Roman" w:cs="Times New Roman"/>
          <w:b/>
          <w:i/>
          <w:sz w:val="24"/>
          <w:szCs w:val="24"/>
        </w:rPr>
        <w:lastRenderedPageBreak/>
        <w:t xml:space="preserve">Контрольно-счетная палата Амурской области отмечает, что в течение </w:t>
      </w:r>
      <w:r>
        <w:rPr>
          <w:rFonts w:ascii="Times New Roman" w:hAnsi="Times New Roman" w:cs="Times New Roman"/>
          <w:b/>
          <w:i/>
          <w:sz w:val="24"/>
          <w:szCs w:val="24"/>
        </w:rPr>
        <w:br/>
        <w:t>2013 года практически по всем подгруппам налоговых и неналоговых доходов областного бюджета произведена корректировка плановых назначений по доходам, как в сторону уменьшения, так и их увеличения, что с</w:t>
      </w:r>
      <w:r w:rsidRPr="00957B46">
        <w:rPr>
          <w:rFonts w:ascii="Times New Roman" w:hAnsi="Times New Roman" w:cs="Times New Roman"/>
          <w:b/>
          <w:i/>
          <w:sz w:val="24"/>
          <w:szCs w:val="24"/>
        </w:rPr>
        <w:t>видетельствует о недостаточной точности прогноза доходов областного бюджета</w:t>
      </w:r>
      <w:r>
        <w:rPr>
          <w:rFonts w:ascii="Times New Roman" w:hAnsi="Times New Roman" w:cs="Times New Roman"/>
          <w:b/>
          <w:i/>
          <w:sz w:val="24"/>
          <w:szCs w:val="24"/>
        </w:rPr>
        <w:t xml:space="preserve"> </w:t>
      </w:r>
      <w:r w:rsidRPr="00957B46">
        <w:rPr>
          <w:rFonts w:ascii="Times New Roman" w:hAnsi="Times New Roman" w:cs="Times New Roman"/>
          <w:b/>
          <w:i/>
          <w:sz w:val="24"/>
          <w:szCs w:val="24"/>
        </w:rPr>
        <w:t>на 2013 год</w:t>
      </w:r>
      <w:r>
        <w:rPr>
          <w:rFonts w:ascii="Times New Roman" w:hAnsi="Times New Roman" w:cs="Times New Roman"/>
          <w:b/>
          <w:i/>
          <w:sz w:val="24"/>
          <w:szCs w:val="24"/>
        </w:rPr>
        <w:t>.</w:t>
      </w:r>
    </w:p>
    <w:p w:rsidR="00BC5F33" w:rsidRPr="00A16E6C" w:rsidRDefault="00BC5F33" w:rsidP="00A16E6C">
      <w:pPr>
        <w:spacing w:after="0" w:line="240" w:lineRule="auto"/>
        <w:ind w:firstLine="720"/>
        <w:jc w:val="both"/>
        <w:rPr>
          <w:rFonts w:ascii="Times New Roman" w:hAnsi="Times New Roman" w:cs="Times New Roman"/>
          <w:sz w:val="24"/>
          <w:szCs w:val="24"/>
        </w:rPr>
      </w:pPr>
      <w:r w:rsidRPr="00A16E6C">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за 2013 год составили </w:t>
      </w:r>
      <w:r w:rsidRPr="002B7865">
        <w:rPr>
          <w:rFonts w:ascii="Times New Roman" w:hAnsi="Times New Roman" w:cs="Times New Roman"/>
          <w:sz w:val="24"/>
          <w:szCs w:val="24"/>
        </w:rPr>
        <w:t>37458,7 млн</w:t>
      </w:r>
      <w:r w:rsidRPr="00A16E6C">
        <w:rPr>
          <w:rFonts w:ascii="Times New Roman" w:hAnsi="Times New Roman" w:cs="Times New Roman"/>
          <w:sz w:val="24"/>
          <w:szCs w:val="24"/>
        </w:rPr>
        <w:t xml:space="preserve">. рублей, плановые назначения перевыполнены в 2,1 раза. </w:t>
      </w:r>
    </w:p>
    <w:p w:rsidR="005F1345" w:rsidRPr="00A3671A" w:rsidRDefault="005F1345" w:rsidP="005F134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A3671A">
        <w:rPr>
          <w:rFonts w:ascii="Times New Roman" w:eastAsia="Times New Roman" w:hAnsi="Times New Roman" w:cs="Times New Roman"/>
          <w:b/>
          <w:sz w:val="24"/>
          <w:szCs w:val="24"/>
          <w:lang w:eastAsia="ru-RU"/>
        </w:rPr>
        <w:t xml:space="preserve">4. Дефицит областного бюджета. Источники финансирования дефицита </w:t>
      </w:r>
      <w:r w:rsidRPr="00A3671A">
        <w:rPr>
          <w:rFonts w:ascii="Times New Roman" w:eastAsia="Times New Roman" w:hAnsi="Times New Roman" w:cs="Times New Roman"/>
          <w:b/>
          <w:sz w:val="24"/>
          <w:szCs w:val="24"/>
          <w:lang w:eastAsia="ru-RU"/>
        </w:rPr>
        <w:br/>
        <w:t>областного бюджета</w:t>
      </w:r>
    </w:p>
    <w:p w:rsidR="00A16E6C" w:rsidRPr="002B7865" w:rsidRDefault="00A16E6C" w:rsidP="00A16E6C">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16E6C">
        <w:rPr>
          <w:rFonts w:ascii="Times New Roman" w:hAnsi="Times New Roman" w:cs="Times New Roman"/>
          <w:sz w:val="24"/>
          <w:szCs w:val="24"/>
        </w:rPr>
        <w:t xml:space="preserve">Областной бюджет в 2013 году исполнен с дефицитом в сумме </w:t>
      </w:r>
      <w:r w:rsidRPr="00A16E6C">
        <w:rPr>
          <w:rFonts w:ascii="Times New Roman" w:hAnsi="Times New Roman" w:cs="Times New Roman"/>
          <w:sz w:val="24"/>
          <w:szCs w:val="24"/>
        </w:rPr>
        <w:br/>
      </w:r>
      <w:r w:rsidRPr="002B7865">
        <w:rPr>
          <w:rFonts w:ascii="Times New Roman" w:hAnsi="Times New Roman" w:cs="Times New Roman"/>
          <w:spacing w:val="6"/>
          <w:sz w:val="24"/>
          <w:szCs w:val="24"/>
        </w:rPr>
        <w:t>4890,8 млн</w:t>
      </w:r>
      <w:r w:rsidRPr="002B7865">
        <w:rPr>
          <w:rFonts w:ascii="Times New Roman" w:hAnsi="Times New Roman" w:cs="Times New Roman"/>
          <w:sz w:val="24"/>
          <w:szCs w:val="24"/>
        </w:rPr>
        <w:t>. рублей.</w:t>
      </w:r>
    </w:p>
    <w:p w:rsidR="00A16E6C" w:rsidRPr="002B7865" w:rsidRDefault="00A16E6C" w:rsidP="00A16E6C">
      <w:pPr>
        <w:spacing w:after="0" w:line="240" w:lineRule="auto"/>
        <w:ind w:firstLine="720"/>
        <w:jc w:val="both"/>
        <w:rPr>
          <w:rFonts w:ascii="Times New Roman" w:hAnsi="Times New Roman" w:cs="Times New Roman"/>
          <w:spacing w:val="6"/>
          <w:sz w:val="24"/>
          <w:szCs w:val="24"/>
        </w:rPr>
      </w:pPr>
      <w:r w:rsidRPr="002B7865">
        <w:rPr>
          <w:rFonts w:ascii="Times New Roman" w:hAnsi="Times New Roman" w:cs="Times New Roman"/>
          <w:spacing w:val="6"/>
          <w:sz w:val="24"/>
          <w:szCs w:val="24"/>
        </w:rPr>
        <w:t>Основными источниками финансирования дефицита областного бюджета в 2013 году являлись кредиты от кредитных организаций, которые привлечены в объеме 15361,8 млн. рублей, бюджетные кредиты от других бюджетов бюджетной системы Российской Федерации, привлеченные в объеме 5566,0 млн. рублей.</w:t>
      </w:r>
    </w:p>
    <w:p w:rsidR="00A16E6C" w:rsidRPr="00A16E6C" w:rsidRDefault="00A16E6C" w:rsidP="00A16E6C">
      <w:pPr>
        <w:spacing w:after="0" w:line="240" w:lineRule="auto"/>
        <w:ind w:firstLine="720"/>
        <w:jc w:val="both"/>
        <w:rPr>
          <w:rFonts w:ascii="Times New Roman" w:eastAsia="Times New Roman" w:hAnsi="Times New Roman" w:cs="Times New Roman"/>
          <w:sz w:val="24"/>
          <w:szCs w:val="24"/>
          <w:lang w:eastAsia="ru-RU"/>
        </w:rPr>
      </w:pPr>
      <w:proofErr w:type="gramStart"/>
      <w:r w:rsidRPr="00A16E6C">
        <w:rPr>
          <w:rFonts w:ascii="Times New Roman" w:hAnsi="Times New Roman" w:cs="Times New Roman"/>
          <w:spacing w:val="6"/>
          <w:sz w:val="24"/>
          <w:szCs w:val="24"/>
        </w:rPr>
        <w:t xml:space="preserve">Остатки средств областного бюджета на лицевом счете доходов и расходов областного бюджета по состоянию на 01.01.2014 составили </w:t>
      </w:r>
      <w:r w:rsidRPr="00A16E6C">
        <w:rPr>
          <w:rFonts w:ascii="Times New Roman" w:hAnsi="Times New Roman" w:cs="Times New Roman"/>
          <w:spacing w:val="6"/>
          <w:sz w:val="24"/>
          <w:szCs w:val="24"/>
        </w:rPr>
        <w:br/>
        <w:t xml:space="preserve">5804,8 млн. рублей, или увеличились по сравнению с данными на 01.01.2013 на </w:t>
      </w:r>
      <w:r w:rsidR="00257D15">
        <w:rPr>
          <w:rFonts w:ascii="Times New Roman" w:hAnsi="Times New Roman" w:cs="Times New Roman"/>
          <w:spacing w:val="6"/>
          <w:sz w:val="24"/>
          <w:szCs w:val="24"/>
        </w:rPr>
        <w:br/>
      </w:r>
      <w:r w:rsidRPr="00A16E6C">
        <w:rPr>
          <w:rFonts w:ascii="Times New Roman" w:hAnsi="Times New Roman" w:cs="Times New Roman"/>
          <w:spacing w:val="6"/>
          <w:sz w:val="24"/>
          <w:szCs w:val="24"/>
        </w:rPr>
        <w:t>3097,6 млн. рублей (по состоянию на 01.01.2013 – 2707196,6 тыс. рублей)</w:t>
      </w:r>
      <w:r w:rsidRPr="00A16E6C">
        <w:rPr>
          <w:rFonts w:ascii="Times New Roman" w:hAnsi="Times New Roman" w:cs="Times New Roman"/>
          <w:sz w:val="24"/>
          <w:szCs w:val="24"/>
        </w:rPr>
        <w:t>,</w:t>
      </w:r>
      <w:r w:rsidRPr="00A16E6C">
        <w:rPr>
          <w:rFonts w:ascii="Times New Roman" w:eastAsia="Times New Roman" w:hAnsi="Times New Roman" w:cs="Times New Roman"/>
          <w:sz w:val="24"/>
          <w:szCs w:val="24"/>
          <w:lang w:eastAsia="ru-RU"/>
        </w:rPr>
        <w:t xml:space="preserve"> в том числе остатки целевых средств, поступивших из федерального бюджета составили 5300,2 млн. рублей, из них 4752,5 млн. рублей по состоянию</w:t>
      </w:r>
      <w:proofErr w:type="gramEnd"/>
      <w:r w:rsidRPr="00A16E6C">
        <w:rPr>
          <w:rFonts w:ascii="Times New Roman" w:eastAsia="Times New Roman" w:hAnsi="Times New Roman" w:cs="Times New Roman"/>
          <w:sz w:val="24"/>
          <w:szCs w:val="24"/>
          <w:lang w:eastAsia="ru-RU"/>
        </w:rPr>
        <w:t xml:space="preserve"> на 01.06.2014 возвращено в федеральный бюджет.</w:t>
      </w:r>
    </w:p>
    <w:p w:rsidR="005F1345" w:rsidRDefault="005F1345" w:rsidP="005F1345">
      <w:pPr>
        <w:spacing w:after="0" w:line="240" w:lineRule="auto"/>
        <w:ind w:firstLine="720"/>
        <w:jc w:val="both"/>
        <w:rPr>
          <w:rFonts w:ascii="Times New Roman" w:hAnsi="Times New Roman" w:cs="Times New Roman"/>
          <w:sz w:val="24"/>
          <w:szCs w:val="24"/>
        </w:rPr>
      </w:pPr>
      <w:r w:rsidRPr="004B0C6F">
        <w:rPr>
          <w:rFonts w:ascii="Times New Roman" w:hAnsi="Times New Roman" w:cs="Times New Roman"/>
          <w:spacing w:val="6"/>
          <w:sz w:val="24"/>
          <w:szCs w:val="24"/>
        </w:rPr>
        <w:t xml:space="preserve">По средствам </w:t>
      </w:r>
      <w:r w:rsidRPr="004B0C6F">
        <w:rPr>
          <w:rFonts w:ascii="Times New Roman" w:hAnsi="Times New Roman" w:cs="Times New Roman"/>
          <w:sz w:val="24"/>
          <w:szCs w:val="24"/>
        </w:rPr>
        <w:t>от продажи акций и иных форм участия в капитале, находящихся в собственности бюджетов субъектов Российской Федерации</w:t>
      </w:r>
      <w:r w:rsidR="007345B3">
        <w:rPr>
          <w:rFonts w:ascii="Times New Roman" w:hAnsi="Times New Roman" w:cs="Times New Roman"/>
          <w:sz w:val="24"/>
          <w:szCs w:val="24"/>
        </w:rPr>
        <w:t>,</w:t>
      </w:r>
      <w:r w:rsidRPr="004B0C6F">
        <w:rPr>
          <w:rFonts w:ascii="Times New Roman" w:hAnsi="Times New Roman" w:cs="Times New Roman"/>
          <w:sz w:val="24"/>
          <w:szCs w:val="24"/>
        </w:rPr>
        <w:t xml:space="preserve"> в 2013 году наблюдается неисполнение плановых назначений (план - 1052988,0 тыс. рублей, исполнение - </w:t>
      </w:r>
      <w:r w:rsidRPr="004B0C6F">
        <w:rPr>
          <w:rFonts w:ascii="Times New Roman" w:hAnsi="Times New Roman" w:cs="Times New Roman"/>
          <w:sz w:val="24"/>
          <w:szCs w:val="24"/>
        </w:rPr>
        <w:br/>
        <w:t>2094,0 тыс. рублей)</w:t>
      </w:r>
      <w:r>
        <w:rPr>
          <w:rFonts w:ascii="Times New Roman" w:hAnsi="Times New Roman" w:cs="Times New Roman"/>
          <w:sz w:val="24"/>
          <w:szCs w:val="24"/>
        </w:rPr>
        <w:t>.</w:t>
      </w:r>
      <w:r w:rsidR="00A16E6C">
        <w:rPr>
          <w:rFonts w:ascii="Times New Roman" w:hAnsi="Times New Roman" w:cs="Times New Roman"/>
          <w:sz w:val="24"/>
          <w:szCs w:val="24"/>
        </w:rPr>
        <w:t xml:space="preserve"> </w:t>
      </w:r>
      <w:r w:rsidRPr="00977D2A">
        <w:rPr>
          <w:rFonts w:ascii="Times New Roman" w:hAnsi="Times New Roman" w:cs="Times New Roman"/>
          <w:sz w:val="24"/>
          <w:szCs w:val="24"/>
        </w:rPr>
        <w:t xml:space="preserve">Согласно пояснительной записке, представленной </w:t>
      </w:r>
      <w:r>
        <w:rPr>
          <w:rFonts w:ascii="Times New Roman" w:hAnsi="Times New Roman" w:cs="Times New Roman"/>
          <w:sz w:val="24"/>
          <w:szCs w:val="24"/>
        </w:rPr>
        <w:t>к законопроекту</w:t>
      </w:r>
      <w:r w:rsidR="007345B3">
        <w:rPr>
          <w:rFonts w:ascii="Times New Roman" w:hAnsi="Times New Roman" w:cs="Times New Roman"/>
          <w:sz w:val="24"/>
          <w:szCs w:val="24"/>
        </w:rPr>
        <w:t>,</w:t>
      </w:r>
      <w:r w:rsidRPr="00977D2A">
        <w:rPr>
          <w:rFonts w:ascii="Times New Roman" w:hAnsi="Times New Roman" w:cs="Times New Roman"/>
          <w:sz w:val="24"/>
          <w:szCs w:val="24"/>
        </w:rPr>
        <w:t xml:space="preserve"> средства от продажи акций и иных форм участия в капитал</w:t>
      </w:r>
      <w:r w:rsidR="007345B3">
        <w:rPr>
          <w:rFonts w:ascii="Times New Roman" w:hAnsi="Times New Roman" w:cs="Times New Roman"/>
          <w:sz w:val="24"/>
          <w:szCs w:val="24"/>
        </w:rPr>
        <w:t xml:space="preserve">е поступили не в полном объеме </w:t>
      </w:r>
      <w:r w:rsidRPr="00977D2A">
        <w:rPr>
          <w:rFonts w:ascii="Times New Roman" w:hAnsi="Times New Roman" w:cs="Times New Roman"/>
          <w:sz w:val="24"/>
          <w:szCs w:val="24"/>
        </w:rPr>
        <w:t xml:space="preserve">в связи с невыполнением программы приватизации областного имущества из-за отсутствия потенциального покупателя акций ОАО «Коммунальные системы БАМа». </w:t>
      </w:r>
      <w:r>
        <w:rPr>
          <w:rFonts w:ascii="Times New Roman" w:hAnsi="Times New Roman" w:cs="Times New Roman"/>
          <w:sz w:val="24"/>
          <w:szCs w:val="24"/>
        </w:rPr>
        <w:t>В 2013 году осуществлена продажа акций ОАО «Бурейская типографи</w:t>
      </w:r>
      <w:r w:rsidR="00A91F9F">
        <w:rPr>
          <w:rFonts w:ascii="Times New Roman" w:hAnsi="Times New Roman" w:cs="Times New Roman"/>
          <w:sz w:val="24"/>
          <w:szCs w:val="24"/>
        </w:rPr>
        <w:t>я» на сумму 2094,0 тыс. рублей.</w:t>
      </w:r>
    </w:p>
    <w:p w:rsidR="005F1345" w:rsidRDefault="00794F97" w:rsidP="005F1345">
      <w:pPr>
        <w:pStyle w:val="ad"/>
        <w:ind w:right="139" w:firstLine="680"/>
        <w:rPr>
          <w:b w:val="0"/>
          <w:szCs w:val="24"/>
        </w:rPr>
      </w:pPr>
      <w:r>
        <w:rPr>
          <w:b w:val="0"/>
        </w:rPr>
        <w:t>Контрольно-счетной палатой Амурской области по результатам проверки министерства имущественных отношений Амурской области предложено в</w:t>
      </w:r>
      <w:r w:rsidRPr="00485E4D">
        <w:rPr>
          <w:b w:val="0"/>
        </w:rPr>
        <w:t xml:space="preserve"> соответствии с </w:t>
      </w:r>
      <w:r>
        <w:rPr>
          <w:b w:val="0"/>
        </w:rPr>
        <w:t xml:space="preserve">пунктом 10 </w:t>
      </w:r>
      <w:r w:rsidRPr="00485E4D">
        <w:rPr>
          <w:b w:val="0"/>
        </w:rPr>
        <w:t>Правил разработки прогнозного плана (программы) приватизации областного имущества</w:t>
      </w:r>
      <w:r>
        <w:rPr>
          <w:b w:val="0"/>
        </w:rPr>
        <w:t>, утвержденных п</w:t>
      </w:r>
      <w:r w:rsidRPr="00485E4D">
        <w:rPr>
          <w:b w:val="0"/>
        </w:rPr>
        <w:t>остановление</w:t>
      </w:r>
      <w:r>
        <w:rPr>
          <w:b w:val="0"/>
        </w:rPr>
        <w:t>м</w:t>
      </w:r>
      <w:r w:rsidRPr="00485E4D">
        <w:rPr>
          <w:b w:val="0"/>
        </w:rPr>
        <w:t xml:space="preserve"> Правительства Амурской области </w:t>
      </w:r>
      <w:r>
        <w:rPr>
          <w:b w:val="0"/>
        </w:rPr>
        <w:br/>
      </w:r>
      <w:r w:rsidRPr="00485E4D">
        <w:rPr>
          <w:b w:val="0"/>
        </w:rPr>
        <w:t xml:space="preserve">от 06.03.2008 </w:t>
      </w:r>
      <w:r>
        <w:rPr>
          <w:b w:val="0"/>
        </w:rPr>
        <w:t>№</w:t>
      </w:r>
      <w:r w:rsidRPr="00485E4D">
        <w:rPr>
          <w:b w:val="0"/>
        </w:rPr>
        <w:t xml:space="preserve"> 53</w:t>
      </w:r>
      <w:r>
        <w:rPr>
          <w:b w:val="0"/>
        </w:rPr>
        <w:t xml:space="preserve">, принять меры по приватизации акций </w:t>
      </w:r>
      <w:r w:rsidRPr="00485E4D">
        <w:rPr>
          <w:b w:val="0"/>
        </w:rPr>
        <w:t>ОАО «Коммунальные системы БАМа», включенны</w:t>
      </w:r>
      <w:r>
        <w:rPr>
          <w:b w:val="0"/>
        </w:rPr>
        <w:t>х в</w:t>
      </w:r>
      <w:r w:rsidRPr="00485E4D">
        <w:rPr>
          <w:b w:val="0"/>
        </w:rPr>
        <w:t xml:space="preserve"> Прогнозн</w:t>
      </w:r>
      <w:r>
        <w:rPr>
          <w:b w:val="0"/>
        </w:rPr>
        <w:t>ый</w:t>
      </w:r>
      <w:r w:rsidRPr="00485E4D">
        <w:rPr>
          <w:b w:val="0"/>
        </w:rPr>
        <w:t xml:space="preserve"> план (программ</w:t>
      </w:r>
      <w:r>
        <w:rPr>
          <w:b w:val="0"/>
        </w:rPr>
        <w:t>у</w:t>
      </w:r>
      <w:r w:rsidRPr="00485E4D">
        <w:rPr>
          <w:b w:val="0"/>
        </w:rPr>
        <w:t>) приватизации областного имущества на 201</w:t>
      </w:r>
      <w:r>
        <w:rPr>
          <w:b w:val="0"/>
        </w:rPr>
        <w:t>3</w:t>
      </w:r>
      <w:r w:rsidRPr="00485E4D">
        <w:rPr>
          <w:b w:val="0"/>
        </w:rPr>
        <w:t xml:space="preserve"> год, </w:t>
      </w:r>
      <w:r>
        <w:rPr>
          <w:b w:val="0"/>
        </w:rPr>
        <w:t>и не приватизированных в 2013 году</w:t>
      </w:r>
      <w:r w:rsidRPr="00485E4D">
        <w:rPr>
          <w:b w:val="0"/>
        </w:rPr>
        <w:t>.</w:t>
      </w:r>
      <w:r w:rsidRPr="00CD4911">
        <w:rPr>
          <w:b w:val="0"/>
          <w:szCs w:val="24"/>
        </w:rPr>
        <w:t xml:space="preserve"> </w:t>
      </w:r>
      <w:r w:rsidR="00EC210C" w:rsidRPr="00CD4911">
        <w:rPr>
          <w:b w:val="0"/>
          <w:szCs w:val="24"/>
        </w:rPr>
        <w:t>Н</w:t>
      </w:r>
      <w:r w:rsidR="005F1345" w:rsidRPr="00CD4911">
        <w:rPr>
          <w:b w:val="0"/>
          <w:szCs w:val="24"/>
        </w:rPr>
        <w:t>а 2014 год</w:t>
      </w:r>
      <w:r w:rsidR="005F1345">
        <w:rPr>
          <w:b w:val="0"/>
          <w:szCs w:val="24"/>
        </w:rPr>
        <w:t xml:space="preserve"> предусмотрены бюджетные ассигнования по средствам от продажи  акций </w:t>
      </w:r>
      <w:r w:rsidR="005F1345" w:rsidRPr="00485E4D">
        <w:rPr>
          <w:b w:val="0"/>
        </w:rPr>
        <w:t>ОАО «Коммунальные системы БАМа</w:t>
      </w:r>
      <w:r w:rsidR="00EC210C" w:rsidRPr="00485E4D">
        <w:rPr>
          <w:b w:val="0"/>
        </w:rPr>
        <w:t>»</w:t>
      </w:r>
      <w:r w:rsidR="00EC210C">
        <w:rPr>
          <w:b w:val="0"/>
          <w:szCs w:val="24"/>
        </w:rPr>
        <w:t xml:space="preserve"> в</w:t>
      </w:r>
      <w:r w:rsidR="005F1345">
        <w:rPr>
          <w:b w:val="0"/>
          <w:szCs w:val="24"/>
        </w:rPr>
        <w:t xml:space="preserve"> объеме 940,0 млн. рублей.</w:t>
      </w:r>
    </w:p>
    <w:p w:rsidR="005F1345" w:rsidRPr="00043AD6" w:rsidRDefault="005F1345" w:rsidP="005F1345">
      <w:pPr>
        <w:pStyle w:val="ad"/>
        <w:ind w:right="139" w:firstLine="680"/>
        <w:rPr>
          <w:b w:val="0"/>
          <w:szCs w:val="24"/>
        </w:rPr>
      </w:pPr>
      <w:r>
        <w:rPr>
          <w:b w:val="0"/>
          <w:szCs w:val="24"/>
        </w:rPr>
        <w:t xml:space="preserve">Показатели продажи акций за 2011-2013 годы и плановый период 2014 года представлены диаграммой на </w:t>
      </w:r>
      <w:r w:rsidR="007345B3">
        <w:rPr>
          <w:b w:val="0"/>
          <w:szCs w:val="24"/>
        </w:rPr>
        <w:t xml:space="preserve">рисунке </w:t>
      </w:r>
      <w:r w:rsidR="00A16E6C">
        <w:rPr>
          <w:b w:val="0"/>
          <w:szCs w:val="24"/>
        </w:rPr>
        <w:t>14</w:t>
      </w:r>
      <w:r w:rsidR="007345B3">
        <w:rPr>
          <w:b w:val="0"/>
          <w:szCs w:val="24"/>
        </w:rPr>
        <w:t>.</w:t>
      </w:r>
    </w:p>
    <w:p w:rsidR="005F1345" w:rsidRDefault="005F1345" w:rsidP="007345B3">
      <w:pPr>
        <w:spacing w:after="0" w:line="240" w:lineRule="auto"/>
        <w:jc w:val="both"/>
        <w:rPr>
          <w:rFonts w:ascii="Times New Roman" w:hAnsi="Times New Roman" w:cs="Times New Roman"/>
          <w:spacing w:val="6"/>
          <w:sz w:val="24"/>
          <w:szCs w:val="24"/>
        </w:rPr>
      </w:pPr>
      <w:r>
        <w:rPr>
          <w:rFonts w:ascii="Times New Roman" w:hAnsi="Times New Roman" w:cs="Times New Roman"/>
          <w:noProof/>
          <w:spacing w:val="6"/>
          <w:sz w:val="24"/>
          <w:szCs w:val="24"/>
          <w:lang w:eastAsia="ru-RU"/>
        </w:rPr>
        <w:drawing>
          <wp:inline distT="0" distB="0" distL="0" distR="0" wp14:anchorId="7F6761E8" wp14:editId="3C23FC77">
            <wp:extent cx="6086475" cy="16954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1345" w:rsidRPr="0010513E" w:rsidRDefault="005F1345" w:rsidP="003C2610">
      <w:pPr>
        <w:spacing w:after="0" w:line="240" w:lineRule="auto"/>
        <w:ind w:firstLine="720"/>
        <w:jc w:val="center"/>
        <w:rPr>
          <w:rFonts w:ascii="Times New Roman" w:hAnsi="Times New Roman" w:cs="Times New Roman"/>
          <w:b/>
          <w:spacing w:val="6"/>
          <w:sz w:val="24"/>
          <w:szCs w:val="24"/>
        </w:rPr>
      </w:pPr>
      <w:r w:rsidRPr="003C2610">
        <w:rPr>
          <w:rFonts w:ascii="Times New Roman" w:hAnsi="Times New Roman" w:cs="Times New Roman"/>
          <w:b/>
          <w:spacing w:val="6"/>
          <w:sz w:val="24"/>
          <w:szCs w:val="24"/>
        </w:rPr>
        <w:t>Рис.</w:t>
      </w:r>
      <w:r w:rsidR="00A16E6C">
        <w:rPr>
          <w:rFonts w:ascii="Times New Roman" w:hAnsi="Times New Roman" w:cs="Times New Roman"/>
          <w:b/>
          <w:spacing w:val="6"/>
          <w:sz w:val="24"/>
          <w:szCs w:val="24"/>
        </w:rPr>
        <w:t>14</w:t>
      </w:r>
      <w:r w:rsidRPr="003C2610">
        <w:rPr>
          <w:rFonts w:ascii="Times New Roman" w:hAnsi="Times New Roman" w:cs="Times New Roman"/>
          <w:b/>
          <w:spacing w:val="6"/>
          <w:sz w:val="24"/>
          <w:szCs w:val="24"/>
        </w:rPr>
        <w:t xml:space="preserve"> </w:t>
      </w:r>
      <w:r>
        <w:rPr>
          <w:rFonts w:ascii="Times New Roman" w:hAnsi="Times New Roman" w:cs="Times New Roman"/>
          <w:b/>
          <w:spacing w:val="6"/>
          <w:sz w:val="24"/>
          <w:szCs w:val="24"/>
        </w:rPr>
        <w:t>П</w:t>
      </w:r>
      <w:r w:rsidRPr="0010513E">
        <w:rPr>
          <w:rFonts w:ascii="Times New Roman" w:hAnsi="Times New Roman" w:cs="Times New Roman"/>
          <w:b/>
          <w:spacing w:val="6"/>
          <w:sz w:val="24"/>
          <w:szCs w:val="24"/>
        </w:rPr>
        <w:t>родаж</w:t>
      </w:r>
      <w:r>
        <w:rPr>
          <w:rFonts w:ascii="Times New Roman" w:hAnsi="Times New Roman" w:cs="Times New Roman"/>
          <w:b/>
          <w:spacing w:val="6"/>
          <w:sz w:val="24"/>
          <w:szCs w:val="24"/>
        </w:rPr>
        <w:t>а</w:t>
      </w:r>
      <w:r w:rsidRPr="0010513E">
        <w:rPr>
          <w:rFonts w:ascii="Times New Roman" w:hAnsi="Times New Roman" w:cs="Times New Roman"/>
          <w:b/>
          <w:spacing w:val="6"/>
          <w:sz w:val="24"/>
          <w:szCs w:val="24"/>
        </w:rPr>
        <w:t xml:space="preserve"> акций за 2011-2013 годы и </w:t>
      </w:r>
      <w:r w:rsidR="00794F97" w:rsidRPr="0010513E">
        <w:rPr>
          <w:rFonts w:ascii="Times New Roman" w:hAnsi="Times New Roman" w:cs="Times New Roman"/>
          <w:b/>
          <w:spacing w:val="6"/>
          <w:sz w:val="24"/>
          <w:szCs w:val="24"/>
        </w:rPr>
        <w:t>плановы</w:t>
      </w:r>
      <w:r w:rsidR="00794F97">
        <w:rPr>
          <w:rFonts w:ascii="Times New Roman" w:hAnsi="Times New Roman" w:cs="Times New Roman"/>
          <w:b/>
          <w:spacing w:val="6"/>
          <w:sz w:val="24"/>
          <w:szCs w:val="24"/>
        </w:rPr>
        <w:t>е показатели</w:t>
      </w:r>
      <w:r>
        <w:rPr>
          <w:rFonts w:ascii="Times New Roman" w:hAnsi="Times New Roman" w:cs="Times New Roman"/>
          <w:b/>
          <w:spacing w:val="6"/>
          <w:sz w:val="24"/>
          <w:szCs w:val="24"/>
        </w:rPr>
        <w:t xml:space="preserve"> на </w:t>
      </w:r>
      <w:r w:rsidRPr="0010513E">
        <w:rPr>
          <w:rFonts w:ascii="Times New Roman" w:hAnsi="Times New Roman" w:cs="Times New Roman"/>
          <w:b/>
          <w:spacing w:val="6"/>
          <w:sz w:val="24"/>
          <w:szCs w:val="24"/>
        </w:rPr>
        <w:t>2014 год, млн</w:t>
      </w:r>
      <w:r w:rsidR="00794F97" w:rsidRPr="0010513E">
        <w:rPr>
          <w:rFonts w:ascii="Times New Roman" w:hAnsi="Times New Roman" w:cs="Times New Roman"/>
          <w:b/>
          <w:spacing w:val="6"/>
          <w:sz w:val="24"/>
          <w:szCs w:val="24"/>
        </w:rPr>
        <w:t>. р</w:t>
      </w:r>
      <w:r w:rsidRPr="0010513E">
        <w:rPr>
          <w:rFonts w:ascii="Times New Roman" w:hAnsi="Times New Roman" w:cs="Times New Roman"/>
          <w:b/>
          <w:spacing w:val="6"/>
          <w:sz w:val="24"/>
          <w:szCs w:val="24"/>
        </w:rPr>
        <w:t>уб.</w:t>
      </w:r>
    </w:p>
    <w:p w:rsidR="005F1345" w:rsidRDefault="005F1345" w:rsidP="005F1345">
      <w:pPr>
        <w:spacing w:after="0" w:line="240" w:lineRule="auto"/>
        <w:ind w:firstLine="720"/>
        <w:jc w:val="both"/>
        <w:rPr>
          <w:rFonts w:ascii="Times New Roman" w:hAnsi="Times New Roman" w:cs="Times New Roman"/>
          <w:spacing w:val="-4"/>
          <w:sz w:val="24"/>
          <w:szCs w:val="24"/>
        </w:rPr>
      </w:pPr>
      <w:proofErr w:type="gramStart"/>
      <w:r w:rsidRPr="00726F19">
        <w:rPr>
          <w:rFonts w:ascii="Times New Roman" w:hAnsi="Times New Roman" w:cs="Times New Roman"/>
          <w:spacing w:val="6"/>
          <w:sz w:val="24"/>
          <w:szCs w:val="24"/>
        </w:rPr>
        <w:lastRenderedPageBreak/>
        <w:t>В 2013 году из областного бюджета бюджетам муниципальных образований области предоставлены бюджетные кредиты на сумму 180000,0 тыс. рублей, возврат бюджетных кредитов, предоставленных бюджетам муниципальных образований области из областного бюджета</w:t>
      </w:r>
      <w:r>
        <w:rPr>
          <w:rFonts w:ascii="Times New Roman" w:hAnsi="Times New Roman" w:cs="Times New Roman"/>
          <w:spacing w:val="6"/>
          <w:sz w:val="24"/>
          <w:szCs w:val="24"/>
        </w:rPr>
        <w:t xml:space="preserve"> для частичного покрытия дефицитов бюджетов муниципальных образований</w:t>
      </w:r>
      <w:r w:rsidRPr="00726F19">
        <w:rPr>
          <w:rFonts w:ascii="Times New Roman" w:hAnsi="Times New Roman" w:cs="Times New Roman"/>
          <w:spacing w:val="6"/>
          <w:sz w:val="24"/>
          <w:szCs w:val="24"/>
        </w:rPr>
        <w:t xml:space="preserve">, осуществлен в 2013 году на сумму </w:t>
      </w:r>
      <w:r>
        <w:rPr>
          <w:rFonts w:ascii="Times New Roman" w:hAnsi="Times New Roman" w:cs="Times New Roman"/>
          <w:spacing w:val="6"/>
          <w:sz w:val="24"/>
          <w:szCs w:val="24"/>
        </w:rPr>
        <w:t>88351,9</w:t>
      </w:r>
      <w:r w:rsidRPr="00726F19">
        <w:rPr>
          <w:rFonts w:ascii="Times New Roman" w:hAnsi="Times New Roman" w:cs="Times New Roman"/>
          <w:spacing w:val="6"/>
          <w:sz w:val="24"/>
          <w:szCs w:val="24"/>
        </w:rPr>
        <w:t xml:space="preserve"> тыс. рублей</w:t>
      </w:r>
      <w:r>
        <w:rPr>
          <w:rFonts w:ascii="Times New Roman" w:hAnsi="Times New Roman" w:cs="Times New Roman"/>
          <w:spacing w:val="6"/>
          <w:sz w:val="24"/>
          <w:szCs w:val="24"/>
        </w:rPr>
        <w:t>,</w:t>
      </w:r>
      <w:r w:rsidRPr="00D92B25">
        <w:rPr>
          <w:rFonts w:ascii="Times New Roman" w:hAnsi="Times New Roman" w:cs="Times New Roman"/>
          <w:spacing w:val="-9"/>
          <w:sz w:val="24"/>
          <w:szCs w:val="24"/>
        </w:rPr>
        <w:t xml:space="preserve"> по рассроченным централизованным </w:t>
      </w:r>
      <w:r w:rsidRPr="00D92B25">
        <w:rPr>
          <w:rFonts w:ascii="Times New Roman" w:hAnsi="Times New Roman" w:cs="Times New Roman"/>
          <w:spacing w:val="-4"/>
          <w:sz w:val="24"/>
          <w:szCs w:val="24"/>
        </w:rPr>
        <w:t xml:space="preserve">кредитам, предоставленным предприятиям АПК в </w:t>
      </w:r>
      <w:r w:rsidRPr="00D92B25">
        <w:rPr>
          <w:rFonts w:ascii="Times New Roman" w:hAnsi="Times New Roman" w:cs="Times New Roman"/>
          <w:spacing w:val="-4"/>
          <w:sz w:val="24"/>
          <w:szCs w:val="24"/>
        </w:rPr>
        <w:br/>
        <w:t>1992-1994 годах</w:t>
      </w:r>
      <w:r w:rsidR="007345B3">
        <w:rPr>
          <w:rFonts w:ascii="Times New Roman" w:hAnsi="Times New Roman" w:cs="Times New Roman"/>
          <w:spacing w:val="-4"/>
          <w:sz w:val="24"/>
          <w:szCs w:val="24"/>
        </w:rPr>
        <w:t xml:space="preserve"> – на сумму 8083,0 тыс. рублей.</w:t>
      </w:r>
      <w:proofErr w:type="gramEnd"/>
    </w:p>
    <w:p w:rsidR="00BA6E5A" w:rsidRPr="007A5C2E" w:rsidRDefault="00BA6E5A" w:rsidP="00BA6E5A">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7A5C2E">
        <w:rPr>
          <w:rFonts w:ascii="Times New Roman" w:eastAsia="Times New Roman" w:hAnsi="Times New Roman" w:cs="Times New Roman"/>
          <w:b/>
          <w:sz w:val="24"/>
          <w:szCs w:val="24"/>
          <w:lang w:eastAsia="ru-RU"/>
        </w:rPr>
        <w:t>Исполнение областного бюджета по расходам за 201</w:t>
      </w:r>
      <w:r>
        <w:rPr>
          <w:rFonts w:ascii="Times New Roman" w:eastAsia="Times New Roman" w:hAnsi="Times New Roman" w:cs="Times New Roman"/>
          <w:b/>
          <w:sz w:val="24"/>
          <w:szCs w:val="24"/>
          <w:lang w:eastAsia="ru-RU"/>
        </w:rPr>
        <w:t>3</w:t>
      </w:r>
      <w:r w:rsidRPr="007A5C2E">
        <w:rPr>
          <w:rFonts w:ascii="Times New Roman" w:eastAsia="Times New Roman" w:hAnsi="Times New Roman" w:cs="Times New Roman"/>
          <w:b/>
          <w:sz w:val="24"/>
          <w:szCs w:val="24"/>
          <w:lang w:eastAsia="ru-RU"/>
        </w:rPr>
        <w:t xml:space="preserve"> год</w:t>
      </w:r>
    </w:p>
    <w:p w:rsidR="00DB0AE5" w:rsidRPr="00DB0AE5" w:rsidRDefault="00DB0AE5" w:rsidP="00DB0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AE5">
        <w:rPr>
          <w:rFonts w:ascii="Times New Roman" w:eastAsia="Times New Roman" w:hAnsi="Times New Roman" w:cs="Times New Roman"/>
          <w:sz w:val="24"/>
          <w:szCs w:val="24"/>
          <w:lang w:eastAsia="ru-RU"/>
        </w:rPr>
        <w:t xml:space="preserve">Общий объем расходов областного бюджета за 2013 год, утвержденных сводной бюджетной росписью расходов областного бюджета на 2013 год превышает объем бюджетных ассигнований, утвержденных законом области об областном бюджете, на </w:t>
      </w:r>
      <w:r>
        <w:rPr>
          <w:rFonts w:ascii="Times New Roman" w:eastAsia="Times New Roman" w:hAnsi="Times New Roman" w:cs="Times New Roman"/>
          <w:sz w:val="24"/>
          <w:szCs w:val="24"/>
          <w:lang w:eastAsia="ru-RU"/>
        </w:rPr>
        <w:br/>
      </w:r>
      <w:r w:rsidRPr="00DB0AE5">
        <w:rPr>
          <w:rFonts w:ascii="Times New Roman" w:eastAsia="Times New Roman" w:hAnsi="Times New Roman" w:cs="Times New Roman"/>
          <w:sz w:val="24"/>
          <w:szCs w:val="24"/>
          <w:lang w:eastAsia="ru-RU"/>
        </w:rPr>
        <w:t>41,3 процента.</w:t>
      </w:r>
    </w:p>
    <w:p w:rsidR="00DB0AE5" w:rsidRPr="00DB0AE5" w:rsidRDefault="00533CB1" w:rsidP="00DB0AE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таблице 1 </w:t>
      </w:r>
      <w:r w:rsidR="00DB0AE5" w:rsidRPr="00DB0AE5">
        <w:rPr>
          <w:rFonts w:ascii="Times New Roman" w:eastAsia="Times New Roman" w:hAnsi="Times New Roman" w:cs="Times New Roman"/>
          <w:iCs/>
          <w:sz w:val="24"/>
          <w:szCs w:val="24"/>
          <w:lang w:eastAsia="ru-RU"/>
        </w:rPr>
        <w:t>представлена информация об изменении объемов бюджетных ассигнований областного бюджета в 2013 году в разрезе разделов классификации расходов бюджетов.</w:t>
      </w:r>
    </w:p>
    <w:p w:rsidR="008E58EF" w:rsidRPr="00863467" w:rsidRDefault="008E58EF" w:rsidP="008E58EF">
      <w:pPr>
        <w:widowControl w:val="0"/>
        <w:autoSpaceDE w:val="0"/>
        <w:autoSpaceDN w:val="0"/>
        <w:adjustRightInd w:val="0"/>
        <w:spacing w:after="0" w:line="240" w:lineRule="auto"/>
        <w:ind w:firstLine="709"/>
        <w:jc w:val="right"/>
        <w:rPr>
          <w:rFonts w:ascii="Times New Roman" w:eastAsia="Times New Roman" w:hAnsi="Times New Roman" w:cs="Times New Roman"/>
          <w:b/>
          <w:iCs/>
          <w:sz w:val="24"/>
          <w:szCs w:val="24"/>
          <w:lang w:eastAsia="ru-RU"/>
        </w:rPr>
      </w:pPr>
      <w:r w:rsidRPr="00863467">
        <w:rPr>
          <w:rFonts w:ascii="Times New Roman" w:eastAsia="Times New Roman" w:hAnsi="Times New Roman" w:cs="Times New Roman"/>
          <w:b/>
          <w:iCs/>
          <w:sz w:val="24"/>
          <w:szCs w:val="24"/>
          <w:lang w:eastAsia="ru-RU"/>
        </w:rPr>
        <w:t xml:space="preserve">Таблица </w:t>
      </w:r>
      <w:r>
        <w:rPr>
          <w:rFonts w:ascii="Times New Roman" w:eastAsia="Times New Roman" w:hAnsi="Times New Roman" w:cs="Times New Roman"/>
          <w:b/>
          <w:iCs/>
          <w:sz w:val="24"/>
          <w:szCs w:val="24"/>
          <w:lang w:eastAsia="ru-RU"/>
        </w:rPr>
        <w:t>1</w:t>
      </w:r>
    </w:p>
    <w:p w:rsidR="008E58EF" w:rsidRPr="002C74F8" w:rsidRDefault="008E58EF" w:rsidP="008E58EF">
      <w:pPr>
        <w:widowControl w:val="0"/>
        <w:autoSpaceDE w:val="0"/>
        <w:autoSpaceDN w:val="0"/>
        <w:adjustRightInd w:val="0"/>
        <w:spacing w:after="120" w:line="240" w:lineRule="auto"/>
        <w:jc w:val="center"/>
        <w:rPr>
          <w:rFonts w:ascii="Times New Roman" w:eastAsia="Times New Roman" w:hAnsi="Times New Roman" w:cs="Times New Roman"/>
          <w:b/>
          <w:iCs/>
          <w:sz w:val="24"/>
          <w:szCs w:val="24"/>
          <w:lang w:eastAsia="ru-RU"/>
        </w:rPr>
      </w:pPr>
      <w:r w:rsidRPr="002C74F8">
        <w:rPr>
          <w:rFonts w:ascii="Times New Roman" w:eastAsia="Times New Roman" w:hAnsi="Times New Roman" w:cs="Times New Roman"/>
          <w:b/>
          <w:iCs/>
          <w:sz w:val="24"/>
          <w:szCs w:val="24"/>
          <w:lang w:eastAsia="ru-RU"/>
        </w:rPr>
        <w:t xml:space="preserve">Информация об изменении объемов бюджетных ассигнований областного бюджета </w:t>
      </w:r>
      <w:r w:rsidRPr="002C74F8">
        <w:rPr>
          <w:rFonts w:ascii="Times New Roman" w:eastAsia="Times New Roman" w:hAnsi="Times New Roman" w:cs="Times New Roman"/>
          <w:b/>
          <w:iCs/>
          <w:sz w:val="24"/>
          <w:szCs w:val="24"/>
          <w:lang w:eastAsia="ru-RU"/>
        </w:rPr>
        <w:br/>
        <w:t>в 2013 году в разрезе разделов классификации расходов бюджетов</w:t>
      </w:r>
    </w:p>
    <w:tbl>
      <w:tblPr>
        <w:tblW w:w="9923" w:type="dxa"/>
        <w:tblInd w:w="-34" w:type="dxa"/>
        <w:tblLayout w:type="fixed"/>
        <w:tblLook w:val="04A0" w:firstRow="1" w:lastRow="0" w:firstColumn="1" w:lastColumn="0" w:noHBand="0" w:noVBand="1"/>
      </w:tblPr>
      <w:tblGrid>
        <w:gridCol w:w="456"/>
        <w:gridCol w:w="2805"/>
        <w:gridCol w:w="1559"/>
        <w:gridCol w:w="1418"/>
        <w:gridCol w:w="1417"/>
        <w:gridCol w:w="1418"/>
        <w:gridCol w:w="850"/>
      </w:tblGrid>
      <w:tr w:rsidR="008E58EF" w:rsidRPr="0082418A" w:rsidTr="002B7865">
        <w:trPr>
          <w:trHeight w:val="854"/>
          <w:tblHeader/>
        </w:trPr>
        <w:tc>
          <w:tcPr>
            <w:tcW w:w="32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E58EF" w:rsidRPr="0082418A" w:rsidRDefault="008E58EF" w:rsidP="00CB47B6">
            <w:pPr>
              <w:spacing w:after="0" w:line="240" w:lineRule="auto"/>
              <w:jc w:val="center"/>
              <w:rPr>
                <w:rFonts w:ascii="Times New Roman" w:eastAsia="Times New Roman" w:hAnsi="Times New Roman" w:cs="Times New Roman"/>
                <w:color w:val="000000"/>
                <w:lang w:eastAsia="ru-RU"/>
              </w:rPr>
            </w:pPr>
            <w:r w:rsidRPr="0082418A">
              <w:rPr>
                <w:rFonts w:ascii="Times New Roman" w:eastAsia="Times New Roman" w:hAnsi="Times New Roman" w:cs="Times New Roman"/>
                <w:color w:val="000000"/>
                <w:lang w:eastAsia="ru-RU"/>
              </w:rPr>
              <w:t>Наименование раздела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58EF" w:rsidRPr="0082418A" w:rsidRDefault="008E58EF" w:rsidP="00CB47B6">
            <w:pPr>
              <w:spacing w:after="0" w:line="240" w:lineRule="auto"/>
              <w:jc w:val="center"/>
              <w:rPr>
                <w:rFonts w:ascii="Times New Roman" w:eastAsia="Times New Roman" w:hAnsi="Times New Roman" w:cs="Times New Roman"/>
                <w:color w:val="000000"/>
                <w:lang w:eastAsia="ru-RU"/>
              </w:rPr>
            </w:pPr>
            <w:r w:rsidRPr="0082418A">
              <w:rPr>
                <w:rFonts w:ascii="Times New Roman" w:eastAsia="Times New Roman" w:hAnsi="Times New Roman" w:cs="Times New Roman"/>
                <w:color w:val="000000"/>
                <w:lang w:eastAsia="ru-RU"/>
              </w:rPr>
              <w:t>Закон о бюджете на 2013 год (первоначальная редакция)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58EF" w:rsidRPr="0082418A" w:rsidRDefault="008E58EF" w:rsidP="00CB47B6">
            <w:pPr>
              <w:spacing w:after="0" w:line="240" w:lineRule="auto"/>
              <w:jc w:val="center"/>
              <w:rPr>
                <w:rFonts w:ascii="Times New Roman" w:eastAsia="Times New Roman" w:hAnsi="Times New Roman" w:cs="Times New Roman"/>
                <w:color w:val="000000"/>
                <w:lang w:eastAsia="ru-RU"/>
              </w:rPr>
            </w:pPr>
            <w:r w:rsidRPr="0082418A">
              <w:rPr>
                <w:rFonts w:ascii="Times New Roman" w:eastAsia="Times New Roman" w:hAnsi="Times New Roman" w:cs="Times New Roman"/>
                <w:color w:val="000000"/>
                <w:lang w:eastAsia="ru-RU"/>
              </w:rPr>
              <w:t>Уточненный Закон о бюджете на 2013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58EF" w:rsidRPr="0082418A" w:rsidRDefault="008E58EF" w:rsidP="00CB47B6">
            <w:pPr>
              <w:spacing w:after="0" w:line="240" w:lineRule="auto"/>
              <w:jc w:val="center"/>
              <w:rPr>
                <w:rFonts w:ascii="Times New Roman" w:eastAsia="Times New Roman" w:hAnsi="Times New Roman" w:cs="Times New Roman"/>
                <w:color w:val="000000"/>
                <w:lang w:eastAsia="ru-RU"/>
              </w:rPr>
            </w:pPr>
            <w:r w:rsidRPr="0082418A">
              <w:rPr>
                <w:rFonts w:ascii="Times New Roman" w:eastAsia="Times New Roman" w:hAnsi="Times New Roman" w:cs="Times New Roman"/>
                <w:color w:val="000000"/>
                <w:lang w:eastAsia="ru-RU"/>
              </w:rPr>
              <w:t>Сводная бюджетная роспись на 31.12.2013</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8E58EF" w:rsidRPr="0082418A" w:rsidRDefault="008E58EF" w:rsidP="00CB47B6">
            <w:pPr>
              <w:spacing w:after="0" w:line="240" w:lineRule="auto"/>
              <w:jc w:val="center"/>
              <w:rPr>
                <w:rFonts w:ascii="Times New Roman" w:eastAsia="Times New Roman" w:hAnsi="Times New Roman" w:cs="Times New Roman"/>
                <w:color w:val="000000"/>
                <w:lang w:eastAsia="ru-RU"/>
              </w:rPr>
            </w:pPr>
            <w:r w:rsidRPr="0082418A">
              <w:rPr>
                <w:rFonts w:ascii="Times New Roman" w:eastAsia="Times New Roman" w:hAnsi="Times New Roman" w:cs="Times New Roman"/>
                <w:color w:val="000000"/>
                <w:lang w:eastAsia="ru-RU"/>
              </w:rPr>
              <w:t>Изменения                 (СБР к уточненному Закону)</w:t>
            </w:r>
          </w:p>
        </w:tc>
      </w:tr>
      <w:tr w:rsidR="008E58EF" w:rsidRPr="002B4CF0" w:rsidTr="002B7865">
        <w:trPr>
          <w:trHeight w:val="405"/>
          <w:tblHeader/>
        </w:trPr>
        <w:tc>
          <w:tcPr>
            <w:tcW w:w="3261" w:type="dxa"/>
            <w:gridSpan w:val="2"/>
            <w:vMerge/>
            <w:tcBorders>
              <w:top w:val="single" w:sz="4" w:space="0" w:color="auto"/>
              <w:left w:val="single" w:sz="4" w:space="0" w:color="auto"/>
              <w:bottom w:val="single" w:sz="4" w:space="0" w:color="000000"/>
              <w:right w:val="single" w:sz="4" w:space="0" w:color="000000"/>
            </w:tcBorders>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2B4CF0">
              <w:rPr>
                <w:rFonts w:ascii="Times New Roman" w:eastAsia="Times New Roman" w:hAnsi="Times New Roman" w:cs="Times New Roman"/>
                <w:color w:val="000000"/>
                <w:sz w:val="24"/>
                <w:szCs w:val="24"/>
                <w:lang w:eastAsia="ru-RU"/>
              </w:rPr>
              <w:t>ыс. рублей</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w:t>
            </w:r>
          </w:p>
        </w:tc>
      </w:tr>
      <w:tr w:rsidR="00895A3E" w:rsidRPr="002B4CF0" w:rsidTr="00895A3E">
        <w:trPr>
          <w:trHeight w:val="283"/>
        </w:trPr>
        <w:tc>
          <w:tcPr>
            <w:tcW w:w="456" w:type="dxa"/>
            <w:tcBorders>
              <w:top w:val="nil"/>
              <w:left w:val="single" w:sz="4" w:space="0" w:color="auto"/>
              <w:bottom w:val="single" w:sz="4" w:space="0" w:color="auto"/>
              <w:right w:val="single" w:sz="4" w:space="0" w:color="auto"/>
            </w:tcBorders>
            <w:shd w:val="clear" w:color="auto" w:fill="auto"/>
            <w:vAlign w:val="bottom"/>
          </w:tcPr>
          <w:p w:rsidR="00895A3E" w:rsidRPr="002B4CF0" w:rsidRDefault="00895A3E" w:rsidP="00895A3E">
            <w:pPr>
              <w:spacing w:after="0" w:line="240" w:lineRule="auto"/>
              <w:jc w:val="center"/>
              <w:rPr>
                <w:rFonts w:ascii="Times New Roman" w:eastAsia="Times New Roman" w:hAnsi="Times New Roman" w:cs="Times New Roman"/>
                <w:color w:val="000000"/>
                <w:sz w:val="24"/>
                <w:szCs w:val="24"/>
                <w:lang w:eastAsia="ru-RU"/>
              </w:rPr>
            </w:pPr>
          </w:p>
        </w:tc>
        <w:tc>
          <w:tcPr>
            <w:tcW w:w="2805" w:type="dxa"/>
            <w:tcBorders>
              <w:top w:val="nil"/>
              <w:left w:val="nil"/>
              <w:bottom w:val="single" w:sz="4" w:space="0" w:color="auto"/>
              <w:right w:val="single" w:sz="4" w:space="0" w:color="auto"/>
            </w:tcBorders>
            <w:shd w:val="clear" w:color="auto" w:fill="auto"/>
          </w:tcPr>
          <w:p w:rsidR="00895A3E" w:rsidRPr="002B4CF0" w:rsidRDefault="00895A3E" w:rsidP="00895A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bottom"/>
          </w:tcPr>
          <w:p w:rsidR="00895A3E" w:rsidRPr="002B4CF0" w:rsidRDefault="00895A3E" w:rsidP="00895A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vAlign w:val="bottom"/>
          </w:tcPr>
          <w:p w:rsidR="00895A3E" w:rsidRPr="002B4CF0" w:rsidRDefault="00895A3E" w:rsidP="00895A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7" w:type="dxa"/>
            <w:tcBorders>
              <w:top w:val="nil"/>
              <w:left w:val="nil"/>
              <w:bottom w:val="single" w:sz="4" w:space="0" w:color="auto"/>
              <w:right w:val="single" w:sz="4" w:space="0" w:color="auto"/>
            </w:tcBorders>
            <w:shd w:val="clear" w:color="auto" w:fill="auto"/>
            <w:vAlign w:val="bottom"/>
          </w:tcPr>
          <w:p w:rsidR="00895A3E" w:rsidRPr="002B4CF0" w:rsidRDefault="00895A3E" w:rsidP="00895A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vAlign w:val="bottom"/>
          </w:tcPr>
          <w:p w:rsidR="00895A3E" w:rsidRPr="002B4CF0" w:rsidRDefault="00895A3E" w:rsidP="00895A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vAlign w:val="bottom"/>
          </w:tcPr>
          <w:p w:rsidR="00895A3E" w:rsidRPr="002B4CF0" w:rsidRDefault="00895A3E" w:rsidP="00895A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8E58EF" w:rsidRPr="002B4CF0" w:rsidTr="002B7865">
        <w:trPr>
          <w:trHeight w:val="5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01</w:t>
            </w:r>
          </w:p>
        </w:tc>
        <w:tc>
          <w:tcPr>
            <w:tcW w:w="2805" w:type="dxa"/>
            <w:tcBorders>
              <w:top w:val="nil"/>
              <w:left w:val="nil"/>
              <w:bottom w:val="single" w:sz="4" w:space="0" w:color="auto"/>
              <w:right w:val="single" w:sz="4" w:space="0" w:color="auto"/>
            </w:tcBorders>
            <w:shd w:val="clear" w:color="auto" w:fill="auto"/>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 xml:space="preserve">Общегосударственные вопросы </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1440458,6</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2910119,8</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171619</w:t>
            </w:r>
            <w:r>
              <w:rPr>
                <w:rFonts w:ascii="Times New Roman" w:eastAsia="Times New Roman" w:hAnsi="Times New Roman" w:cs="Times New Roman"/>
                <w:color w:val="000000"/>
                <w:sz w:val="24"/>
                <w:szCs w:val="24"/>
                <w:lang w:eastAsia="ru-RU"/>
              </w:rPr>
              <w:t>4,9</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-1193924,</w:t>
            </w:r>
            <w:r>
              <w:rPr>
                <w:rFonts w:ascii="Times New Roman" w:eastAsia="Times New Roman" w:hAnsi="Times New Roman" w:cs="Times New Roman"/>
                <w:color w:val="000000"/>
                <w:sz w:val="24"/>
                <w:szCs w:val="24"/>
                <w:lang w:eastAsia="ru-RU"/>
              </w:rPr>
              <w:t>9</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59,0</w:t>
            </w:r>
          </w:p>
        </w:tc>
      </w:tr>
      <w:tr w:rsidR="008E58EF" w:rsidRPr="002B4CF0" w:rsidTr="002B7865">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02</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jc w:val="both"/>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27484,9</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27761,3</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27761,3</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100,0</w:t>
            </w:r>
          </w:p>
        </w:tc>
      </w:tr>
      <w:tr w:rsidR="008E58EF" w:rsidRPr="002B4CF0" w:rsidTr="002B7865">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03</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899615,5</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1099465,1</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1128874,6</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29409,5</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102,7</w:t>
            </w:r>
          </w:p>
        </w:tc>
      </w:tr>
      <w:tr w:rsidR="008E58EF" w:rsidRPr="002B4CF0" w:rsidTr="002B7865">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04</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5433603</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7644501,1</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21911461,9</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14266960,8</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286,6</w:t>
            </w:r>
          </w:p>
        </w:tc>
      </w:tr>
      <w:tr w:rsidR="008E58EF" w:rsidRPr="002B4CF0" w:rsidTr="002B7865">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05</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1466577,4</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6396851,1</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9100380,6</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2703529,5</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142,3</w:t>
            </w:r>
          </w:p>
        </w:tc>
      </w:tr>
      <w:tr w:rsidR="008E58EF" w:rsidRPr="002B4CF0" w:rsidTr="002B7865">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06</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Охрана окружающей среды</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58098,4</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79067,0</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79067,0</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100,0</w:t>
            </w:r>
          </w:p>
        </w:tc>
      </w:tr>
      <w:tr w:rsidR="008E58EF" w:rsidRPr="002B4CF0" w:rsidTr="002B7865">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07</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8956036,2</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9434690,8</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9957497,</w:t>
            </w:r>
            <w:r>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522806,5</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105,5</w:t>
            </w:r>
          </w:p>
        </w:tc>
      </w:tr>
      <w:tr w:rsidR="008E58EF" w:rsidRPr="002B4CF0" w:rsidTr="002B7865">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08</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234361,8</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310627,4</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446255,</w:t>
            </w:r>
            <w:r>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135627,8</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143,7</w:t>
            </w:r>
          </w:p>
        </w:tc>
      </w:tr>
      <w:tr w:rsidR="008E58EF" w:rsidRPr="002B4CF0" w:rsidTr="002B7865">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09</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Здравоохранение</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5727525,5</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6423676,3</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9606897,</w:t>
            </w:r>
            <w:r>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318322</w:t>
            </w:r>
            <w:r>
              <w:rPr>
                <w:rFonts w:ascii="Times New Roman" w:eastAsia="Times New Roman" w:hAnsi="Times New Roman" w:cs="Times New Roman"/>
                <w:color w:val="000000"/>
                <w:sz w:val="24"/>
                <w:szCs w:val="24"/>
                <w:lang w:eastAsia="ru-RU"/>
              </w:rPr>
              <w:t>0</w:t>
            </w:r>
            <w:r w:rsidRPr="002B4CF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149,6</w:t>
            </w:r>
          </w:p>
        </w:tc>
      </w:tr>
      <w:tr w:rsidR="008E58EF" w:rsidRPr="002B4CF0" w:rsidTr="002B7865">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8982405,1</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16093583,8</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18589918,</w:t>
            </w:r>
            <w:r>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2496334,</w:t>
            </w:r>
            <w:r>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115,5</w:t>
            </w:r>
          </w:p>
        </w:tc>
      </w:tr>
      <w:tr w:rsidR="008E58EF" w:rsidRPr="002B4CF0" w:rsidTr="002B7865">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11</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139920,7</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159110,6</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397711,</w:t>
            </w:r>
            <w:r>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238600,7</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250,0</w:t>
            </w:r>
          </w:p>
        </w:tc>
      </w:tr>
      <w:tr w:rsidR="008E58EF" w:rsidRPr="002B4CF0" w:rsidTr="002B7865">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12</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80678,2</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97722,9</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97722,9</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100,0</w:t>
            </w:r>
          </w:p>
        </w:tc>
      </w:tr>
      <w:tr w:rsidR="008E58EF" w:rsidRPr="002B4CF0" w:rsidTr="002B7865">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13</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Обслуживание государственного долга</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1820474,5</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1094166,5</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1094166,5</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100,0</w:t>
            </w:r>
          </w:p>
        </w:tc>
      </w:tr>
      <w:tr w:rsidR="008E58EF" w:rsidRPr="002B4CF0" w:rsidTr="002B7865">
        <w:trPr>
          <w:trHeight w:val="157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center"/>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lastRenderedPageBreak/>
              <w:t>14</w:t>
            </w:r>
          </w:p>
        </w:tc>
        <w:tc>
          <w:tcPr>
            <w:tcW w:w="2805" w:type="dxa"/>
            <w:tcBorders>
              <w:top w:val="nil"/>
              <w:left w:val="nil"/>
              <w:bottom w:val="single" w:sz="4" w:space="0" w:color="auto"/>
              <w:right w:val="single" w:sz="4" w:space="0" w:color="auto"/>
            </w:tcBorders>
            <w:shd w:val="clear" w:color="auto" w:fill="auto"/>
            <w:vAlign w:val="center"/>
            <w:hideMark/>
          </w:tcPr>
          <w:p w:rsidR="008E58EF" w:rsidRPr="002B4CF0" w:rsidRDefault="008E58EF" w:rsidP="00CB47B6">
            <w:pPr>
              <w:spacing w:after="0" w:line="240" w:lineRule="auto"/>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3955050,7</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5148369,6</w:t>
            </w:r>
          </w:p>
        </w:tc>
        <w:tc>
          <w:tcPr>
            <w:tcW w:w="1417"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6298001,6</w:t>
            </w:r>
          </w:p>
        </w:tc>
        <w:tc>
          <w:tcPr>
            <w:tcW w:w="1418"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1149631,6</w:t>
            </w:r>
          </w:p>
        </w:tc>
        <w:tc>
          <w:tcPr>
            <w:tcW w:w="850" w:type="dxa"/>
            <w:tcBorders>
              <w:top w:val="nil"/>
              <w:left w:val="nil"/>
              <w:bottom w:val="single" w:sz="4" w:space="0" w:color="auto"/>
              <w:right w:val="single" w:sz="4" w:space="0" w:color="auto"/>
            </w:tcBorders>
            <w:shd w:val="clear" w:color="auto" w:fill="auto"/>
            <w:vAlign w:val="bottom"/>
            <w:hideMark/>
          </w:tcPr>
          <w:p w:rsidR="008E58EF" w:rsidRPr="002B4CF0" w:rsidRDefault="008E58EF" w:rsidP="00CB47B6">
            <w:pPr>
              <w:spacing w:after="0" w:line="240" w:lineRule="auto"/>
              <w:jc w:val="right"/>
              <w:rPr>
                <w:rFonts w:ascii="Times New Roman" w:eastAsia="Times New Roman" w:hAnsi="Times New Roman" w:cs="Times New Roman"/>
                <w:color w:val="000000"/>
                <w:sz w:val="24"/>
                <w:szCs w:val="24"/>
                <w:lang w:eastAsia="ru-RU"/>
              </w:rPr>
            </w:pPr>
            <w:r w:rsidRPr="002B4CF0">
              <w:rPr>
                <w:rFonts w:ascii="Times New Roman" w:eastAsia="Times New Roman" w:hAnsi="Times New Roman" w:cs="Times New Roman"/>
                <w:color w:val="000000"/>
                <w:sz w:val="24"/>
                <w:szCs w:val="24"/>
                <w:lang w:eastAsia="ru-RU"/>
              </w:rPr>
              <w:t>122,3</w:t>
            </w:r>
          </w:p>
        </w:tc>
      </w:tr>
      <w:tr w:rsidR="008E58EF" w:rsidRPr="0082418A" w:rsidTr="002B7865">
        <w:trPr>
          <w:trHeight w:val="315"/>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E58EF" w:rsidRPr="0082418A" w:rsidRDefault="008E58EF" w:rsidP="00CB47B6">
            <w:pPr>
              <w:spacing w:after="0" w:line="240" w:lineRule="auto"/>
              <w:jc w:val="center"/>
              <w:rPr>
                <w:rFonts w:ascii="Times New Roman" w:eastAsia="Times New Roman" w:hAnsi="Times New Roman" w:cs="Times New Roman"/>
                <w:b/>
                <w:color w:val="000000"/>
                <w:sz w:val="24"/>
                <w:szCs w:val="24"/>
                <w:lang w:eastAsia="ru-RU"/>
              </w:rPr>
            </w:pPr>
            <w:r w:rsidRPr="0082418A">
              <w:rPr>
                <w:rFonts w:ascii="Times New Roman" w:eastAsia="Times New Roman" w:hAnsi="Times New Roman" w:cs="Times New Roman"/>
                <w:b/>
                <w:color w:val="000000"/>
                <w:sz w:val="24"/>
                <w:szCs w:val="24"/>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8E58EF" w:rsidRPr="0082418A" w:rsidRDefault="008E58EF" w:rsidP="00CB47B6">
            <w:pPr>
              <w:spacing w:after="0" w:line="240" w:lineRule="auto"/>
              <w:jc w:val="right"/>
              <w:rPr>
                <w:rFonts w:ascii="Times New Roman" w:eastAsia="Times New Roman" w:hAnsi="Times New Roman" w:cs="Times New Roman"/>
                <w:b/>
                <w:color w:val="000000"/>
                <w:sz w:val="24"/>
                <w:szCs w:val="24"/>
                <w:lang w:eastAsia="ru-RU"/>
              </w:rPr>
            </w:pPr>
            <w:r w:rsidRPr="0082418A">
              <w:rPr>
                <w:rFonts w:ascii="Times New Roman" w:eastAsia="Times New Roman" w:hAnsi="Times New Roman" w:cs="Times New Roman"/>
                <w:b/>
                <w:color w:val="000000"/>
                <w:sz w:val="24"/>
                <w:szCs w:val="24"/>
                <w:lang w:eastAsia="ru-RU"/>
              </w:rPr>
              <w:t>39222290,5</w:t>
            </w:r>
          </w:p>
        </w:tc>
        <w:tc>
          <w:tcPr>
            <w:tcW w:w="1418" w:type="dxa"/>
            <w:tcBorders>
              <w:top w:val="nil"/>
              <w:left w:val="nil"/>
              <w:bottom w:val="single" w:sz="4" w:space="0" w:color="auto"/>
              <w:right w:val="single" w:sz="4" w:space="0" w:color="auto"/>
            </w:tcBorders>
            <w:shd w:val="clear" w:color="auto" w:fill="auto"/>
            <w:vAlign w:val="bottom"/>
            <w:hideMark/>
          </w:tcPr>
          <w:p w:rsidR="008E58EF" w:rsidRPr="0082418A" w:rsidRDefault="008E58EF" w:rsidP="00CB47B6">
            <w:pPr>
              <w:spacing w:after="0" w:line="240" w:lineRule="auto"/>
              <w:jc w:val="right"/>
              <w:rPr>
                <w:rFonts w:ascii="Times New Roman" w:eastAsia="Times New Roman" w:hAnsi="Times New Roman" w:cs="Times New Roman"/>
                <w:b/>
                <w:color w:val="000000"/>
                <w:sz w:val="24"/>
                <w:szCs w:val="24"/>
                <w:lang w:eastAsia="ru-RU"/>
              </w:rPr>
            </w:pPr>
            <w:r w:rsidRPr="0082418A">
              <w:rPr>
                <w:rFonts w:ascii="Times New Roman" w:eastAsia="Times New Roman" w:hAnsi="Times New Roman" w:cs="Times New Roman"/>
                <w:b/>
                <w:color w:val="000000"/>
                <w:sz w:val="24"/>
                <w:szCs w:val="24"/>
                <w:lang w:eastAsia="ru-RU"/>
              </w:rPr>
              <w:t>56919713,5</w:t>
            </w:r>
          </w:p>
        </w:tc>
        <w:tc>
          <w:tcPr>
            <w:tcW w:w="1417" w:type="dxa"/>
            <w:tcBorders>
              <w:top w:val="nil"/>
              <w:left w:val="nil"/>
              <w:bottom w:val="single" w:sz="4" w:space="0" w:color="auto"/>
              <w:right w:val="single" w:sz="4" w:space="0" w:color="auto"/>
            </w:tcBorders>
            <w:shd w:val="clear" w:color="auto" w:fill="auto"/>
            <w:vAlign w:val="bottom"/>
            <w:hideMark/>
          </w:tcPr>
          <w:p w:rsidR="008E58EF" w:rsidRPr="0082418A" w:rsidRDefault="008E58EF" w:rsidP="00CB47B6">
            <w:pPr>
              <w:spacing w:after="0" w:line="240" w:lineRule="auto"/>
              <w:jc w:val="right"/>
              <w:rPr>
                <w:rFonts w:ascii="Times New Roman" w:eastAsia="Times New Roman" w:hAnsi="Times New Roman" w:cs="Times New Roman"/>
                <w:b/>
                <w:color w:val="000000"/>
                <w:sz w:val="24"/>
                <w:szCs w:val="24"/>
                <w:lang w:eastAsia="ru-RU"/>
              </w:rPr>
            </w:pPr>
            <w:r w:rsidRPr="0082418A">
              <w:rPr>
                <w:rFonts w:ascii="Times New Roman" w:eastAsia="Times New Roman" w:hAnsi="Times New Roman" w:cs="Times New Roman"/>
                <w:b/>
                <w:color w:val="000000"/>
                <w:sz w:val="24"/>
                <w:szCs w:val="24"/>
                <w:lang w:eastAsia="ru-RU"/>
              </w:rPr>
              <w:t>80451910,6</w:t>
            </w:r>
          </w:p>
        </w:tc>
        <w:tc>
          <w:tcPr>
            <w:tcW w:w="1418" w:type="dxa"/>
            <w:tcBorders>
              <w:top w:val="nil"/>
              <w:left w:val="nil"/>
              <w:bottom w:val="single" w:sz="4" w:space="0" w:color="auto"/>
              <w:right w:val="single" w:sz="4" w:space="0" w:color="auto"/>
            </w:tcBorders>
            <w:shd w:val="clear" w:color="auto" w:fill="auto"/>
            <w:vAlign w:val="bottom"/>
            <w:hideMark/>
          </w:tcPr>
          <w:p w:rsidR="008E58EF" w:rsidRPr="0082418A" w:rsidRDefault="008E58EF" w:rsidP="00CB47B6">
            <w:pPr>
              <w:spacing w:after="0" w:line="240" w:lineRule="auto"/>
              <w:jc w:val="right"/>
              <w:rPr>
                <w:rFonts w:ascii="Times New Roman" w:eastAsia="Times New Roman" w:hAnsi="Times New Roman" w:cs="Times New Roman"/>
                <w:b/>
                <w:color w:val="000000"/>
                <w:sz w:val="24"/>
                <w:szCs w:val="24"/>
                <w:lang w:eastAsia="ru-RU"/>
              </w:rPr>
            </w:pPr>
            <w:r w:rsidRPr="0082418A">
              <w:rPr>
                <w:rFonts w:ascii="Times New Roman" w:eastAsia="Times New Roman" w:hAnsi="Times New Roman" w:cs="Times New Roman"/>
                <w:b/>
                <w:color w:val="000000"/>
                <w:sz w:val="24"/>
                <w:szCs w:val="24"/>
                <w:lang w:eastAsia="ru-RU"/>
              </w:rPr>
              <w:t>23532197,1</w:t>
            </w:r>
          </w:p>
        </w:tc>
        <w:tc>
          <w:tcPr>
            <w:tcW w:w="850" w:type="dxa"/>
            <w:tcBorders>
              <w:top w:val="nil"/>
              <w:left w:val="nil"/>
              <w:bottom w:val="single" w:sz="4" w:space="0" w:color="auto"/>
              <w:right w:val="single" w:sz="4" w:space="0" w:color="auto"/>
            </w:tcBorders>
            <w:shd w:val="clear" w:color="auto" w:fill="auto"/>
            <w:vAlign w:val="bottom"/>
            <w:hideMark/>
          </w:tcPr>
          <w:p w:rsidR="008E58EF" w:rsidRPr="0082418A" w:rsidRDefault="008E58EF" w:rsidP="00CB47B6">
            <w:pPr>
              <w:spacing w:after="0" w:line="240" w:lineRule="auto"/>
              <w:jc w:val="right"/>
              <w:rPr>
                <w:rFonts w:ascii="Times New Roman" w:eastAsia="Times New Roman" w:hAnsi="Times New Roman" w:cs="Times New Roman"/>
                <w:b/>
                <w:color w:val="000000"/>
                <w:sz w:val="24"/>
                <w:szCs w:val="24"/>
                <w:lang w:eastAsia="ru-RU"/>
              </w:rPr>
            </w:pPr>
            <w:r w:rsidRPr="0082418A">
              <w:rPr>
                <w:rFonts w:ascii="Times New Roman" w:eastAsia="Times New Roman" w:hAnsi="Times New Roman" w:cs="Times New Roman"/>
                <w:b/>
                <w:color w:val="000000"/>
                <w:sz w:val="24"/>
                <w:szCs w:val="24"/>
                <w:lang w:eastAsia="ru-RU"/>
              </w:rPr>
              <w:t>141,3</w:t>
            </w:r>
          </w:p>
        </w:tc>
      </w:tr>
    </w:tbl>
    <w:p w:rsidR="00A942A3" w:rsidRDefault="00A942A3" w:rsidP="00533CB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533CB1" w:rsidRPr="00533CB1" w:rsidRDefault="00DB0AE5" w:rsidP="00533CB1">
      <w:pPr>
        <w:widowControl w:val="0"/>
        <w:autoSpaceDE w:val="0"/>
        <w:autoSpaceDN w:val="0"/>
        <w:adjustRightInd w:val="0"/>
        <w:spacing w:after="0" w:line="240" w:lineRule="auto"/>
        <w:ind w:firstLine="709"/>
        <w:jc w:val="both"/>
        <w:rPr>
          <w:rFonts w:ascii="Times New Roman" w:eastAsia="Times New Roman" w:hAnsi="Times New Roman" w:cs="Times New Roman"/>
          <w:iCs/>
          <w:color w:val="4F81BD" w:themeColor="accent1"/>
          <w:sz w:val="24"/>
          <w:szCs w:val="24"/>
          <w:lang w:eastAsia="ru-RU"/>
        </w:rPr>
      </w:pPr>
      <w:r w:rsidRPr="00533CB1">
        <w:rPr>
          <w:rFonts w:ascii="Times New Roman" w:eastAsia="Times New Roman" w:hAnsi="Times New Roman" w:cs="Times New Roman"/>
          <w:iCs/>
          <w:sz w:val="24"/>
          <w:szCs w:val="24"/>
          <w:lang w:eastAsia="ru-RU"/>
        </w:rPr>
        <w:t>Уточнение расходов областного бюджета в течение отчетного периода связано с выделением средств из резервных фондов Президента Российской Федерации, Правительства Российской Федерации по предупреждению и ликвидации чрезвычайных ситуаций и последствий стихийных бедствий и Правительства Амурской области. Кроме того, регулярно уточнялась расходная часть областного бюджета в связи с изменением ассигнований на финансирование публичных нормативных обязательств, межбюджетных трансфертов муниципальным образованиям области и финансирование областных государственных учреждений, а также областных мероприятий.</w:t>
      </w:r>
    </w:p>
    <w:p w:rsidR="00DB0AE5" w:rsidRPr="00533CB1" w:rsidRDefault="00DB0AE5" w:rsidP="00533CB1">
      <w:pPr>
        <w:spacing w:after="0" w:line="240" w:lineRule="auto"/>
        <w:ind w:firstLine="720"/>
        <w:jc w:val="both"/>
        <w:rPr>
          <w:rFonts w:ascii="Times New Roman" w:eastAsia="Times New Roman" w:hAnsi="Times New Roman" w:cs="Times New Roman"/>
          <w:spacing w:val="6"/>
          <w:sz w:val="24"/>
          <w:szCs w:val="24"/>
          <w:lang w:eastAsia="ru-RU"/>
        </w:rPr>
      </w:pPr>
      <w:r w:rsidRPr="00533CB1">
        <w:rPr>
          <w:rFonts w:ascii="Times New Roman" w:eastAsia="Times New Roman" w:hAnsi="Times New Roman" w:cs="Times New Roman"/>
          <w:sz w:val="24"/>
          <w:szCs w:val="24"/>
          <w:lang w:eastAsia="ru-RU"/>
        </w:rPr>
        <w:t>Расходы областного бюджета за 2</w:t>
      </w:r>
      <w:r w:rsidR="00A942A3">
        <w:rPr>
          <w:rFonts w:ascii="Times New Roman" w:eastAsia="Times New Roman" w:hAnsi="Times New Roman" w:cs="Times New Roman"/>
          <w:sz w:val="24"/>
          <w:szCs w:val="24"/>
          <w:lang w:eastAsia="ru-RU"/>
        </w:rPr>
        <w:t>0</w:t>
      </w:r>
      <w:r w:rsidRPr="00533CB1">
        <w:rPr>
          <w:rFonts w:ascii="Times New Roman" w:eastAsia="Times New Roman" w:hAnsi="Times New Roman" w:cs="Times New Roman"/>
          <w:sz w:val="24"/>
          <w:szCs w:val="24"/>
          <w:lang w:eastAsia="ru-RU"/>
        </w:rPr>
        <w:t xml:space="preserve">13 год исполнены в сумме </w:t>
      </w:r>
      <w:r w:rsidRPr="00533CB1">
        <w:rPr>
          <w:rFonts w:ascii="Times New Roman" w:eastAsia="Times New Roman" w:hAnsi="Times New Roman" w:cs="Times New Roman"/>
          <w:sz w:val="24"/>
          <w:szCs w:val="24"/>
          <w:lang w:eastAsia="ru-RU"/>
        </w:rPr>
        <w:br/>
      </w:r>
      <w:r w:rsidRPr="002B7865">
        <w:rPr>
          <w:rFonts w:ascii="Times New Roman" w:eastAsia="Times New Roman" w:hAnsi="Times New Roman" w:cs="Times New Roman"/>
          <w:spacing w:val="6"/>
          <w:sz w:val="24"/>
          <w:szCs w:val="24"/>
          <w:lang w:eastAsia="ru-RU"/>
        </w:rPr>
        <w:t>71 665,9 млн</w:t>
      </w:r>
      <w:r w:rsidRPr="00533CB1">
        <w:rPr>
          <w:rFonts w:ascii="Times New Roman" w:eastAsia="Times New Roman" w:hAnsi="Times New Roman" w:cs="Times New Roman"/>
          <w:spacing w:val="6"/>
          <w:sz w:val="24"/>
          <w:szCs w:val="24"/>
          <w:lang w:eastAsia="ru-RU"/>
        </w:rPr>
        <w:t>. рублей, или 89,1 процента к плановым показателям сводной бюджетной росписи расходов. Объем неисполненных бюджетных назначений составил 8786,0 млн. рублей.</w:t>
      </w:r>
    </w:p>
    <w:p w:rsidR="00DB0AE5" w:rsidRPr="00A942A3" w:rsidRDefault="00DB0AE5" w:rsidP="00A942A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942A3">
        <w:rPr>
          <w:rFonts w:ascii="Times New Roman" w:eastAsia="Times New Roman" w:hAnsi="Times New Roman" w:cs="Times New Roman"/>
          <w:sz w:val="24"/>
          <w:szCs w:val="24"/>
          <w:lang w:eastAsia="ru-RU"/>
        </w:rPr>
        <w:t xml:space="preserve">На </w:t>
      </w:r>
      <w:r w:rsidR="00A942A3" w:rsidRPr="00A942A3">
        <w:rPr>
          <w:rFonts w:ascii="Times New Roman" w:eastAsia="Times New Roman" w:hAnsi="Times New Roman" w:cs="Times New Roman"/>
          <w:sz w:val="24"/>
          <w:szCs w:val="24"/>
          <w:lang w:eastAsia="ru-RU"/>
        </w:rPr>
        <w:t>рисунке 15</w:t>
      </w:r>
      <w:r w:rsidRPr="00A942A3">
        <w:rPr>
          <w:rFonts w:ascii="Times New Roman" w:eastAsia="Times New Roman" w:hAnsi="Times New Roman" w:cs="Times New Roman"/>
          <w:sz w:val="24"/>
          <w:szCs w:val="24"/>
          <w:lang w:eastAsia="ru-RU"/>
        </w:rPr>
        <w:t xml:space="preserve"> представлены данные по главным распорядителям, имеющим наибольший объем неисполненных ассигнований.</w:t>
      </w:r>
    </w:p>
    <w:p w:rsidR="00DB0AE5" w:rsidRPr="0069732A" w:rsidRDefault="00DB0AE5" w:rsidP="00DB0AE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
    <w:p w:rsidR="00DB0AE5" w:rsidRPr="0069732A" w:rsidRDefault="00DB0AE5" w:rsidP="00DB0AE5">
      <w:pPr>
        <w:widowControl w:val="0"/>
        <w:autoSpaceDE w:val="0"/>
        <w:autoSpaceDN w:val="0"/>
        <w:adjustRightInd w:val="0"/>
        <w:spacing w:after="0" w:line="240" w:lineRule="auto"/>
        <w:ind w:left="-284"/>
        <w:jc w:val="both"/>
        <w:outlineLvl w:val="0"/>
        <w:rPr>
          <w:rFonts w:ascii="Times New Roman" w:eastAsia="Times New Roman" w:hAnsi="Times New Roman" w:cs="Times New Roman"/>
          <w:b/>
          <w:sz w:val="24"/>
          <w:szCs w:val="24"/>
          <w:lang w:eastAsia="ru-RU"/>
        </w:rPr>
      </w:pPr>
      <w:r w:rsidRPr="0069732A">
        <w:rPr>
          <w:rFonts w:ascii="Times New Roman" w:eastAsia="Times New Roman" w:hAnsi="Times New Roman" w:cs="Times New Roman"/>
          <w:b/>
          <w:noProof/>
          <w:sz w:val="24"/>
          <w:szCs w:val="24"/>
          <w:lang w:eastAsia="ru-RU"/>
        </w:rPr>
        <w:drawing>
          <wp:inline distT="0" distB="0" distL="0" distR="0" wp14:anchorId="202EC9AA" wp14:editId="3DFB535A">
            <wp:extent cx="6410325" cy="3762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0AE5" w:rsidRPr="0069732A" w:rsidRDefault="00DB0AE5" w:rsidP="00DB0AE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9732A">
        <w:rPr>
          <w:rFonts w:ascii="Times New Roman" w:eastAsia="Times New Roman" w:hAnsi="Times New Roman" w:cs="Times New Roman"/>
          <w:b/>
          <w:sz w:val="24"/>
          <w:szCs w:val="24"/>
          <w:lang w:eastAsia="ru-RU"/>
        </w:rPr>
        <w:t xml:space="preserve">Рис. </w:t>
      </w:r>
      <w:r w:rsidR="00A942A3">
        <w:rPr>
          <w:rFonts w:ascii="Times New Roman" w:eastAsia="Times New Roman" w:hAnsi="Times New Roman" w:cs="Times New Roman"/>
          <w:b/>
          <w:sz w:val="24"/>
          <w:szCs w:val="24"/>
          <w:lang w:eastAsia="ru-RU"/>
        </w:rPr>
        <w:t>15</w:t>
      </w:r>
      <w:r w:rsidRPr="0069732A">
        <w:rPr>
          <w:rFonts w:ascii="Times New Roman" w:eastAsia="Times New Roman" w:hAnsi="Times New Roman" w:cs="Times New Roman"/>
          <w:b/>
          <w:sz w:val="24"/>
          <w:szCs w:val="24"/>
          <w:lang w:eastAsia="ru-RU"/>
        </w:rPr>
        <w:t xml:space="preserve"> - Объем неисполненных бюджетных обязательств по главным распорядителям средств областного бюджета за 2013 год</w:t>
      </w:r>
    </w:p>
    <w:p w:rsidR="00DB0AE5" w:rsidRPr="00A942A3" w:rsidRDefault="00DB0AE5" w:rsidP="00A942A3">
      <w:pPr>
        <w:spacing w:after="0" w:line="240" w:lineRule="auto"/>
        <w:ind w:firstLine="720"/>
        <w:jc w:val="both"/>
        <w:rPr>
          <w:rFonts w:ascii="Times New Roman" w:eastAsia="Times New Roman" w:hAnsi="Times New Roman" w:cs="Times New Roman"/>
          <w:spacing w:val="6"/>
          <w:sz w:val="24"/>
          <w:szCs w:val="24"/>
          <w:lang w:eastAsia="ru-RU"/>
        </w:rPr>
      </w:pPr>
      <w:r w:rsidRPr="00A942A3">
        <w:rPr>
          <w:rFonts w:ascii="Times New Roman" w:eastAsia="Times New Roman" w:hAnsi="Times New Roman" w:cs="Times New Roman"/>
          <w:spacing w:val="6"/>
          <w:sz w:val="24"/>
          <w:szCs w:val="24"/>
          <w:lang w:eastAsia="ru-RU"/>
        </w:rPr>
        <w:lastRenderedPageBreak/>
        <w:t>Основными причинами неисполнения плановых показателей послужило:</w:t>
      </w:r>
    </w:p>
    <w:p w:rsidR="00DB0AE5" w:rsidRPr="00A942A3" w:rsidRDefault="00DB0AE5" w:rsidP="00A942A3">
      <w:pPr>
        <w:spacing w:after="0" w:line="240" w:lineRule="auto"/>
        <w:ind w:firstLine="720"/>
        <w:jc w:val="both"/>
        <w:rPr>
          <w:rFonts w:ascii="Times New Roman" w:eastAsia="Times New Roman" w:hAnsi="Times New Roman" w:cs="Times New Roman"/>
          <w:spacing w:val="6"/>
          <w:sz w:val="24"/>
          <w:szCs w:val="24"/>
          <w:lang w:eastAsia="ru-RU"/>
        </w:rPr>
      </w:pPr>
      <w:r w:rsidRPr="00A942A3">
        <w:rPr>
          <w:rFonts w:ascii="Times New Roman" w:eastAsia="Times New Roman" w:hAnsi="Times New Roman" w:cs="Times New Roman"/>
          <w:spacing w:val="6"/>
          <w:sz w:val="24"/>
          <w:szCs w:val="24"/>
          <w:lang w:eastAsia="ru-RU"/>
        </w:rPr>
        <w:t>-отсутствие необходимых документов, определяющих порядок выделения и (или) использования средств на компенсационные выплат</w:t>
      </w:r>
      <w:r w:rsidR="00F97AE2">
        <w:rPr>
          <w:rFonts w:ascii="Times New Roman" w:eastAsia="Times New Roman" w:hAnsi="Times New Roman" w:cs="Times New Roman"/>
          <w:spacing w:val="6"/>
          <w:sz w:val="24"/>
          <w:szCs w:val="24"/>
          <w:lang w:eastAsia="ru-RU"/>
        </w:rPr>
        <w:t>ы отдельным категориям граждан.</w:t>
      </w:r>
    </w:p>
    <w:p w:rsidR="00DB0AE5" w:rsidRPr="00A942A3" w:rsidRDefault="00DB0AE5" w:rsidP="00A942A3">
      <w:pPr>
        <w:spacing w:after="0" w:line="240" w:lineRule="auto"/>
        <w:ind w:firstLine="720"/>
        <w:jc w:val="both"/>
        <w:rPr>
          <w:rFonts w:ascii="Times New Roman" w:eastAsia="Times New Roman" w:hAnsi="Times New Roman" w:cs="Times New Roman"/>
          <w:spacing w:val="6"/>
          <w:sz w:val="24"/>
          <w:szCs w:val="24"/>
          <w:lang w:eastAsia="ru-RU"/>
        </w:rPr>
      </w:pPr>
      <w:r w:rsidRPr="00A942A3">
        <w:rPr>
          <w:rFonts w:ascii="Times New Roman" w:eastAsia="Times New Roman" w:hAnsi="Times New Roman" w:cs="Times New Roman"/>
          <w:spacing w:val="6"/>
          <w:sz w:val="24"/>
          <w:szCs w:val="24"/>
          <w:lang w:eastAsia="ru-RU"/>
        </w:rPr>
        <w:t>-поступление средств из федерального бюджета в последние дни финансового года, что не позволило в отчетном финансовом году завершить конкурсные процедуры и заключить контракты, либо работы по заключенным контрактам будут завершены в 2014 году.</w:t>
      </w:r>
    </w:p>
    <w:p w:rsidR="00DB0AE5" w:rsidRPr="00A942A3" w:rsidRDefault="00DB0AE5" w:rsidP="00A942A3">
      <w:pPr>
        <w:spacing w:after="0" w:line="240" w:lineRule="auto"/>
        <w:ind w:firstLine="720"/>
        <w:jc w:val="both"/>
        <w:rPr>
          <w:rFonts w:ascii="Times New Roman" w:eastAsia="Times New Roman" w:hAnsi="Times New Roman" w:cs="Times New Roman"/>
          <w:spacing w:val="6"/>
          <w:sz w:val="24"/>
          <w:szCs w:val="24"/>
          <w:lang w:eastAsia="ru-RU"/>
        </w:rPr>
      </w:pPr>
      <w:r w:rsidRPr="00A942A3">
        <w:rPr>
          <w:rFonts w:ascii="Times New Roman" w:eastAsia="Times New Roman" w:hAnsi="Times New Roman" w:cs="Times New Roman"/>
          <w:spacing w:val="6"/>
          <w:sz w:val="24"/>
          <w:szCs w:val="24"/>
          <w:lang w:eastAsia="ru-RU"/>
        </w:rPr>
        <w:t>-отсутствие потребности в средствах, предоставление которых носит заявительный характер, что связано с уменьшением количества получателей бюджетных средств.</w:t>
      </w:r>
    </w:p>
    <w:p w:rsidR="00DB0AE5" w:rsidRPr="00A942A3" w:rsidRDefault="00DB0AE5" w:rsidP="00A94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2A3">
        <w:rPr>
          <w:rFonts w:ascii="Times New Roman" w:eastAsia="Times New Roman" w:hAnsi="Times New Roman" w:cs="Times New Roman"/>
          <w:sz w:val="24"/>
          <w:szCs w:val="24"/>
          <w:lang w:eastAsia="ru-RU"/>
        </w:rPr>
        <w:t>Структура расходов областного бюджета за 2013 год (по исполнению) в разрезе разделов бюджетной классификации расходов бюджета представлена на</w:t>
      </w:r>
      <w:r w:rsidRPr="00A942A3">
        <w:rPr>
          <w:rFonts w:ascii="Times New Roman" w:eastAsia="Times New Roman" w:hAnsi="Times New Roman" w:cs="Times New Roman"/>
          <w:color w:val="4F81BD" w:themeColor="accent1"/>
          <w:sz w:val="24"/>
          <w:szCs w:val="24"/>
          <w:lang w:eastAsia="ru-RU"/>
        </w:rPr>
        <w:t xml:space="preserve"> </w:t>
      </w:r>
      <w:r w:rsidR="00A942A3" w:rsidRPr="00A942A3">
        <w:rPr>
          <w:rFonts w:ascii="Times New Roman" w:eastAsia="Times New Roman" w:hAnsi="Times New Roman" w:cs="Times New Roman"/>
          <w:sz w:val="24"/>
          <w:szCs w:val="24"/>
          <w:lang w:eastAsia="ru-RU"/>
        </w:rPr>
        <w:t>рисунке 16.</w:t>
      </w:r>
    </w:p>
    <w:p w:rsidR="00DB0AE5" w:rsidRDefault="00DB0AE5" w:rsidP="00DB0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0AE5" w:rsidRDefault="00DB0AE5" w:rsidP="00DB0A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DB9804E" wp14:editId="007C1DA9">
            <wp:extent cx="6086475" cy="45720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0AE5" w:rsidRDefault="00DB0AE5" w:rsidP="00DB0A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0AE5" w:rsidRPr="007A5C2E" w:rsidRDefault="00DB0AE5" w:rsidP="00DB0A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0AE5" w:rsidRDefault="00DB0AE5" w:rsidP="00DB0A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5C2E">
        <w:rPr>
          <w:rFonts w:ascii="Times New Roman" w:eastAsia="Times New Roman" w:hAnsi="Times New Roman" w:cs="Times New Roman"/>
          <w:b/>
          <w:sz w:val="24"/>
          <w:szCs w:val="24"/>
          <w:lang w:eastAsia="ru-RU"/>
        </w:rPr>
        <w:t>Рис.</w:t>
      </w:r>
      <w:r w:rsidR="008E58EF">
        <w:rPr>
          <w:rFonts w:ascii="Times New Roman" w:eastAsia="Times New Roman" w:hAnsi="Times New Roman" w:cs="Times New Roman"/>
          <w:b/>
          <w:sz w:val="24"/>
          <w:szCs w:val="24"/>
          <w:lang w:eastAsia="ru-RU"/>
        </w:rPr>
        <w:t xml:space="preserve"> 16</w:t>
      </w:r>
      <w:r w:rsidRPr="007A5C2E">
        <w:rPr>
          <w:rFonts w:ascii="Times New Roman" w:eastAsia="Times New Roman" w:hAnsi="Times New Roman" w:cs="Times New Roman"/>
          <w:b/>
          <w:sz w:val="24"/>
          <w:szCs w:val="24"/>
          <w:lang w:eastAsia="ru-RU"/>
        </w:rPr>
        <w:t xml:space="preserve"> - Структура расходов областного бюджета за 201</w:t>
      </w:r>
      <w:r>
        <w:rPr>
          <w:rFonts w:ascii="Times New Roman" w:eastAsia="Times New Roman" w:hAnsi="Times New Roman" w:cs="Times New Roman"/>
          <w:b/>
          <w:sz w:val="24"/>
          <w:szCs w:val="24"/>
          <w:lang w:eastAsia="ru-RU"/>
        </w:rPr>
        <w:t>3</w:t>
      </w:r>
      <w:r w:rsidRPr="007A5C2E">
        <w:rPr>
          <w:rFonts w:ascii="Times New Roman" w:eastAsia="Times New Roman" w:hAnsi="Times New Roman" w:cs="Times New Roman"/>
          <w:b/>
          <w:sz w:val="24"/>
          <w:szCs w:val="24"/>
          <w:lang w:eastAsia="ru-RU"/>
        </w:rPr>
        <w:t xml:space="preserve"> год </w:t>
      </w:r>
      <w:r>
        <w:rPr>
          <w:rFonts w:ascii="Times New Roman" w:eastAsia="Times New Roman" w:hAnsi="Times New Roman" w:cs="Times New Roman"/>
          <w:b/>
          <w:sz w:val="24"/>
          <w:szCs w:val="24"/>
          <w:lang w:eastAsia="ru-RU"/>
        </w:rPr>
        <w:t>(по исполнению)</w:t>
      </w:r>
      <w:r>
        <w:rPr>
          <w:rFonts w:ascii="Times New Roman" w:eastAsia="Times New Roman" w:hAnsi="Times New Roman" w:cs="Times New Roman"/>
          <w:b/>
          <w:sz w:val="24"/>
          <w:szCs w:val="24"/>
          <w:lang w:eastAsia="ru-RU"/>
        </w:rPr>
        <w:br/>
        <w:t xml:space="preserve"> </w:t>
      </w:r>
      <w:r w:rsidRPr="007A5C2E">
        <w:rPr>
          <w:rFonts w:ascii="Times New Roman" w:eastAsia="Times New Roman" w:hAnsi="Times New Roman" w:cs="Times New Roman"/>
          <w:b/>
          <w:sz w:val="24"/>
          <w:szCs w:val="24"/>
          <w:lang w:eastAsia="ru-RU"/>
        </w:rPr>
        <w:t>по разделам классификации расходов бюджетов</w:t>
      </w:r>
    </w:p>
    <w:p w:rsidR="00DB0AE5" w:rsidRPr="007A5C2E" w:rsidRDefault="00DB0AE5" w:rsidP="00DB0A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E1F1F" w:rsidRPr="003A554D" w:rsidRDefault="004E1F1F" w:rsidP="004E1F1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AD6614">
        <w:rPr>
          <w:rFonts w:ascii="Times New Roman" w:eastAsia="Times New Roman" w:hAnsi="Times New Roman" w:cs="Times New Roman"/>
          <w:sz w:val="24"/>
          <w:szCs w:val="24"/>
          <w:lang w:eastAsia="ru-RU"/>
        </w:rPr>
        <w:t xml:space="preserve">Блок расходов по разделам социальной направленности, включающих расходы на образование, здравоохранение, физическую культуру и спорт, социальную политику, культуру и кинематографию занимает в общем объеме расходов областного бюджета на </w:t>
      </w:r>
      <w:r>
        <w:rPr>
          <w:rFonts w:ascii="Times New Roman" w:eastAsia="Times New Roman" w:hAnsi="Times New Roman" w:cs="Times New Roman"/>
          <w:sz w:val="24"/>
          <w:szCs w:val="24"/>
          <w:lang w:eastAsia="ru-RU"/>
        </w:rPr>
        <w:br/>
      </w:r>
      <w:r w:rsidRPr="00AD6614">
        <w:rPr>
          <w:rFonts w:ascii="Times New Roman" w:eastAsia="Times New Roman" w:hAnsi="Times New Roman" w:cs="Times New Roman"/>
          <w:sz w:val="24"/>
          <w:szCs w:val="24"/>
          <w:lang w:eastAsia="ru-RU"/>
        </w:rPr>
        <w:t xml:space="preserve">2013 год </w:t>
      </w:r>
      <w:r w:rsidRPr="003A554D">
        <w:rPr>
          <w:rFonts w:ascii="Times New Roman" w:eastAsia="Times New Roman" w:hAnsi="Times New Roman" w:cs="Times New Roman"/>
          <w:sz w:val="24"/>
          <w:szCs w:val="24"/>
          <w:lang w:eastAsia="ru-RU"/>
        </w:rPr>
        <w:t>51,0 процент, что ниже аналогичного показателя за 2012 год на 5,5 процентных пункта.</w:t>
      </w:r>
    </w:p>
    <w:p w:rsidR="004E1F1F" w:rsidRPr="000A46C3" w:rsidRDefault="004E1F1F" w:rsidP="004E1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6C3">
        <w:rPr>
          <w:rFonts w:ascii="Times New Roman" w:eastAsia="Times New Roman" w:hAnsi="Times New Roman" w:cs="Times New Roman"/>
          <w:sz w:val="24"/>
          <w:szCs w:val="24"/>
          <w:lang w:eastAsia="ru-RU"/>
        </w:rPr>
        <w:t>Вместе с тем, объем расходов, направленных в 2013 году на финансирование отраслей социальной сферы, в целом возрос на 7686</w:t>
      </w:r>
      <w:r w:rsidR="002B7865">
        <w:rPr>
          <w:rFonts w:ascii="Times New Roman" w:eastAsia="Times New Roman" w:hAnsi="Times New Roman" w:cs="Times New Roman"/>
          <w:sz w:val="24"/>
          <w:szCs w:val="24"/>
          <w:lang w:eastAsia="ru-RU"/>
        </w:rPr>
        <w:t>,3 млн</w:t>
      </w:r>
      <w:r w:rsidRPr="000A46C3">
        <w:rPr>
          <w:rFonts w:ascii="Times New Roman" w:eastAsia="Times New Roman" w:hAnsi="Times New Roman" w:cs="Times New Roman"/>
          <w:sz w:val="24"/>
          <w:szCs w:val="24"/>
          <w:lang w:eastAsia="ru-RU"/>
        </w:rPr>
        <w:t>. рублей, или на 26,6 процента и составил 36573</w:t>
      </w:r>
      <w:r w:rsidR="002B7865">
        <w:rPr>
          <w:rFonts w:ascii="Times New Roman" w:eastAsia="Times New Roman" w:hAnsi="Times New Roman" w:cs="Times New Roman"/>
          <w:sz w:val="24"/>
          <w:szCs w:val="24"/>
          <w:lang w:eastAsia="ru-RU"/>
        </w:rPr>
        <w:t>,</w:t>
      </w:r>
      <w:r w:rsidRPr="000A46C3">
        <w:rPr>
          <w:rFonts w:ascii="Times New Roman" w:eastAsia="Times New Roman" w:hAnsi="Times New Roman" w:cs="Times New Roman"/>
          <w:sz w:val="24"/>
          <w:szCs w:val="24"/>
          <w:lang w:eastAsia="ru-RU"/>
        </w:rPr>
        <w:t>7</w:t>
      </w:r>
      <w:r w:rsidR="002B7865">
        <w:rPr>
          <w:rFonts w:ascii="Times New Roman" w:eastAsia="Times New Roman" w:hAnsi="Times New Roman" w:cs="Times New Roman"/>
          <w:sz w:val="24"/>
          <w:szCs w:val="24"/>
          <w:lang w:eastAsia="ru-RU"/>
        </w:rPr>
        <w:t xml:space="preserve"> млн</w:t>
      </w:r>
      <w:r w:rsidRPr="000A46C3">
        <w:rPr>
          <w:rFonts w:ascii="Times New Roman" w:eastAsia="Times New Roman" w:hAnsi="Times New Roman" w:cs="Times New Roman"/>
          <w:sz w:val="24"/>
          <w:szCs w:val="24"/>
          <w:lang w:eastAsia="ru-RU"/>
        </w:rPr>
        <w:t>. рублей, в том числе:</w:t>
      </w:r>
    </w:p>
    <w:p w:rsidR="004E1F1F" w:rsidRPr="000A46C3" w:rsidRDefault="004E1F1F" w:rsidP="004E1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6C3">
        <w:rPr>
          <w:rFonts w:ascii="Times New Roman" w:eastAsia="Times New Roman" w:hAnsi="Times New Roman" w:cs="Times New Roman"/>
          <w:sz w:val="24"/>
          <w:szCs w:val="24"/>
          <w:lang w:eastAsia="ru-RU"/>
        </w:rPr>
        <w:t>-на образование – на 1073</w:t>
      </w:r>
      <w:r w:rsidR="002B7865">
        <w:rPr>
          <w:rFonts w:ascii="Times New Roman" w:eastAsia="Times New Roman" w:hAnsi="Times New Roman" w:cs="Times New Roman"/>
          <w:sz w:val="24"/>
          <w:szCs w:val="24"/>
          <w:lang w:eastAsia="ru-RU"/>
        </w:rPr>
        <w:t>,7 млн</w:t>
      </w:r>
      <w:r w:rsidRPr="000A46C3">
        <w:rPr>
          <w:rFonts w:ascii="Times New Roman" w:eastAsia="Times New Roman" w:hAnsi="Times New Roman" w:cs="Times New Roman"/>
          <w:sz w:val="24"/>
          <w:szCs w:val="24"/>
          <w:lang w:eastAsia="ru-RU"/>
        </w:rPr>
        <w:t>. рублей и составил 9762</w:t>
      </w:r>
      <w:r w:rsidR="002B7865">
        <w:rPr>
          <w:rFonts w:ascii="Times New Roman" w:eastAsia="Times New Roman" w:hAnsi="Times New Roman" w:cs="Times New Roman"/>
          <w:sz w:val="24"/>
          <w:szCs w:val="24"/>
          <w:lang w:eastAsia="ru-RU"/>
        </w:rPr>
        <w:t>,2 млн</w:t>
      </w:r>
      <w:r w:rsidRPr="000A46C3">
        <w:rPr>
          <w:rFonts w:ascii="Times New Roman" w:eastAsia="Times New Roman" w:hAnsi="Times New Roman" w:cs="Times New Roman"/>
          <w:sz w:val="24"/>
          <w:szCs w:val="24"/>
          <w:lang w:eastAsia="ru-RU"/>
        </w:rPr>
        <w:t>. рублей;</w:t>
      </w:r>
    </w:p>
    <w:p w:rsidR="004E1F1F" w:rsidRPr="000A46C3" w:rsidRDefault="004E1F1F" w:rsidP="004E1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6C3">
        <w:rPr>
          <w:rFonts w:ascii="Times New Roman" w:eastAsia="Times New Roman" w:hAnsi="Times New Roman" w:cs="Times New Roman"/>
          <w:sz w:val="24"/>
          <w:szCs w:val="24"/>
          <w:lang w:eastAsia="ru-RU"/>
        </w:rPr>
        <w:lastRenderedPageBreak/>
        <w:t>-на социальную политику – на 7420</w:t>
      </w:r>
      <w:r w:rsidR="002B7865">
        <w:rPr>
          <w:rFonts w:ascii="Times New Roman" w:eastAsia="Times New Roman" w:hAnsi="Times New Roman" w:cs="Times New Roman"/>
          <w:sz w:val="24"/>
          <w:szCs w:val="24"/>
          <w:lang w:eastAsia="ru-RU"/>
        </w:rPr>
        <w:t>,1 млн</w:t>
      </w:r>
      <w:r w:rsidRPr="000A46C3">
        <w:rPr>
          <w:rFonts w:ascii="Times New Roman" w:eastAsia="Times New Roman" w:hAnsi="Times New Roman" w:cs="Times New Roman"/>
          <w:sz w:val="24"/>
          <w:szCs w:val="24"/>
          <w:lang w:eastAsia="ru-RU"/>
        </w:rPr>
        <w:t>. рублей и составил 17511</w:t>
      </w:r>
      <w:r w:rsidR="002B7865">
        <w:rPr>
          <w:rFonts w:ascii="Times New Roman" w:eastAsia="Times New Roman" w:hAnsi="Times New Roman" w:cs="Times New Roman"/>
          <w:sz w:val="24"/>
          <w:szCs w:val="24"/>
          <w:lang w:eastAsia="ru-RU"/>
        </w:rPr>
        <w:t>,5 млн</w:t>
      </w:r>
      <w:r w:rsidRPr="000A46C3">
        <w:rPr>
          <w:rFonts w:ascii="Times New Roman" w:eastAsia="Times New Roman" w:hAnsi="Times New Roman" w:cs="Times New Roman"/>
          <w:sz w:val="24"/>
          <w:szCs w:val="24"/>
          <w:lang w:eastAsia="ru-RU"/>
        </w:rPr>
        <w:t>. рублей;</w:t>
      </w:r>
    </w:p>
    <w:p w:rsidR="004E1F1F" w:rsidRPr="000A46C3" w:rsidRDefault="004E1F1F" w:rsidP="004E1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6C3">
        <w:rPr>
          <w:rFonts w:ascii="Times New Roman" w:eastAsia="Times New Roman" w:hAnsi="Times New Roman" w:cs="Times New Roman"/>
          <w:sz w:val="24"/>
          <w:szCs w:val="24"/>
          <w:lang w:eastAsia="ru-RU"/>
        </w:rPr>
        <w:t>-на физическую культуру и спорт – на 110</w:t>
      </w:r>
      <w:r w:rsidR="002B7865">
        <w:rPr>
          <w:rFonts w:ascii="Times New Roman" w:eastAsia="Times New Roman" w:hAnsi="Times New Roman" w:cs="Times New Roman"/>
          <w:sz w:val="24"/>
          <w:szCs w:val="24"/>
          <w:lang w:eastAsia="ru-RU"/>
        </w:rPr>
        <w:t>,3 млн</w:t>
      </w:r>
      <w:r w:rsidRPr="000A46C3">
        <w:rPr>
          <w:rFonts w:ascii="Times New Roman" w:eastAsia="Times New Roman" w:hAnsi="Times New Roman" w:cs="Times New Roman"/>
          <w:sz w:val="24"/>
          <w:szCs w:val="24"/>
          <w:lang w:eastAsia="ru-RU"/>
        </w:rPr>
        <w:t>. рублей и</w:t>
      </w:r>
      <w:r>
        <w:rPr>
          <w:rFonts w:ascii="Times New Roman" w:eastAsia="Times New Roman" w:hAnsi="Times New Roman" w:cs="Times New Roman"/>
          <w:sz w:val="24"/>
          <w:szCs w:val="24"/>
          <w:lang w:eastAsia="ru-RU"/>
        </w:rPr>
        <w:t xml:space="preserve"> составил 391</w:t>
      </w:r>
      <w:r w:rsidR="002B7865">
        <w:rPr>
          <w:rFonts w:ascii="Times New Roman" w:eastAsia="Times New Roman" w:hAnsi="Times New Roman" w:cs="Times New Roman"/>
          <w:sz w:val="24"/>
          <w:szCs w:val="24"/>
          <w:lang w:eastAsia="ru-RU"/>
        </w:rPr>
        <w:t>,5 млн</w:t>
      </w:r>
      <w:r>
        <w:rPr>
          <w:rFonts w:ascii="Times New Roman" w:eastAsia="Times New Roman" w:hAnsi="Times New Roman" w:cs="Times New Roman"/>
          <w:sz w:val="24"/>
          <w:szCs w:val="24"/>
          <w:lang w:eastAsia="ru-RU"/>
        </w:rPr>
        <w:t>. рублей;</w:t>
      </w:r>
    </w:p>
    <w:p w:rsidR="004E1F1F" w:rsidRPr="000A46C3" w:rsidRDefault="004E1F1F" w:rsidP="004E1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6C3">
        <w:rPr>
          <w:rFonts w:ascii="Times New Roman" w:eastAsia="Times New Roman" w:hAnsi="Times New Roman" w:cs="Times New Roman"/>
          <w:sz w:val="24"/>
          <w:szCs w:val="24"/>
          <w:lang w:eastAsia="ru-RU"/>
        </w:rPr>
        <w:t>-на культуру – на 113</w:t>
      </w:r>
      <w:r w:rsidR="002B7865">
        <w:rPr>
          <w:rFonts w:ascii="Times New Roman" w:eastAsia="Times New Roman" w:hAnsi="Times New Roman" w:cs="Times New Roman"/>
          <w:sz w:val="24"/>
          <w:szCs w:val="24"/>
          <w:lang w:eastAsia="ru-RU"/>
        </w:rPr>
        <w:t>,7 млн</w:t>
      </w:r>
      <w:r w:rsidRPr="000A46C3">
        <w:rPr>
          <w:rFonts w:ascii="Times New Roman" w:eastAsia="Times New Roman" w:hAnsi="Times New Roman" w:cs="Times New Roman"/>
          <w:sz w:val="24"/>
          <w:szCs w:val="24"/>
          <w:lang w:eastAsia="ru-RU"/>
        </w:rPr>
        <w:t>. рублей и составил 444</w:t>
      </w:r>
      <w:r w:rsidR="002B7865">
        <w:rPr>
          <w:rFonts w:ascii="Times New Roman" w:eastAsia="Times New Roman" w:hAnsi="Times New Roman" w:cs="Times New Roman"/>
          <w:sz w:val="24"/>
          <w:szCs w:val="24"/>
          <w:lang w:eastAsia="ru-RU"/>
        </w:rPr>
        <w:t>,9 млн</w:t>
      </w:r>
      <w:r w:rsidRPr="000A46C3">
        <w:rPr>
          <w:rFonts w:ascii="Times New Roman" w:eastAsia="Times New Roman" w:hAnsi="Times New Roman" w:cs="Times New Roman"/>
          <w:sz w:val="24"/>
          <w:szCs w:val="24"/>
          <w:lang w:eastAsia="ru-RU"/>
        </w:rPr>
        <w:t>. рублей.</w:t>
      </w:r>
    </w:p>
    <w:p w:rsidR="004E1F1F" w:rsidRPr="000A46C3" w:rsidRDefault="004E1F1F" w:rsidP="004E1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6C3">
        <w:rPr>
          <w:rFonts w:ascii="Times New Roman" w:eastAsia="Times New Roman" w:hAnsi="Times New Roman" w:cs="Times New Roman"/>
          <w:sz w:val="24"/>
          <w:szCs w:val="24"/>
          <w:lang w:eastAsia="ru-RU"/>
        </w:rPr>
        <w:t>На здравоохранение наблюдается уменьшение объема расходов к аналогичному показателю за 2012 год на 1031</w:t>
      </w:r>
      <w:r w:rsidR="008848E4">
        <w:rPr>
          <w:rFonts w:ascii="Times New Roman" w:eastAsia="Times New Roman" w:hAnsi="Times New Roman" w:cs="Times New Roman"/>
          <w:sz w:val="24"/>
          <w:szCs w:val="24"/>
          <w:lang w:eastAsia="ru-RU"/>
        </w:rPr>
        <w:t>,4 млн</w:t>
      </w:r>
      <w:r w:rsidRPr="000A46C3">
        <w:rPr>
          <w:rFonts w:ascii="Times New Roman" w:eastAsia="Times New Roman" w:hAnsi="Times New Roman" w:cs="Times New Roman"/>
          <w:sz w:val="24"/>
          <w:szCs w:val="24"/>
          <w:lang w:eastAsia="ru-RU"/>
        </w:rPr>
        <w:t>. рублей. Объем расходов составил 8463</w:t>
      </w:r>
      <w:r w:rsidR="008848E4">
        <w:rPr>
          <w:rFonts w:ascii="Times New Roman" w:eastAsia="Times New Roman" w:hAnsi="Times New Roman" w:cs="Times New Roman"/>
          <w:sz w:val="24"/>
          <w:szCs w:val="24"/>
          <w:lang w:eastAsia="ru-RU"/>
        </w:rPr>
        <w:t>,7 млн</w:t>
      </w:r>
      <w:r>
        <w:rPr>
          <w:rFonts w:ascii="Times New Roman" w:eastAsia="Times New Roman" w:hAnsi="Times New Roman" w:cs="Times New Roman"/>
          <w:sz w:val="24"/>
          <w:szCs w:val="24"/>
          <w:lang w:eastAsia="ru-RU"/>
        </w:rPr>
        <w:t>. рублей.</w:t>
      </w:r>
    </w:p>
    <w:p w:rsidR="00DB0AE5" w:rsidRPr="008E58EF" w:rsidRDefault="00DB0AE5" w:rsidP="008E5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58EF">
        <w:rPr>
          <w:rFonts w:ascii="Times New Roman" w:eastAsia="Times New Roman" w:hAnsi="Times New Roman" w:cs="Times New Roman"/>
          <w:sz w:val="24"/>
          <w:szCs w:val="24"/>
          <w:lang w:eastAsia="ru-RU"/>
        </w:rPr>
        <w:t>Существенно возросла доля расходов, в общем объеме финансирования социальной сферы, по отрасли «Социальная политика» - на 13,0 процентных пунктов. Вместе с тем, на рост в основном повлияло увеличение расходов на социальное обеспечение населения, что связано с оказанием социальной помощи населению, пострадавшему в результате крупномасштабного наводнения в Амурской области в июле-августе 2013 года.</w:t>
      </w:r>
    </w:p>
    <w:p w:rsidR="00DB0AE5" w:rsidRPr="008E58EF" w:rsidRDefault="008E58EF" w:rsidP="008E5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6C3">
        <w:rPr>
          <w:rFonts w:ascii="Times New Roman" w:eastAsia="Times New Roman" w:hAnsi="Times New Roman" w:cs="Times New Roman"/>
          <w:sz w:val="24"/>
          <w:szCs w:val="20"/>
          <w:lang w:eastAsia="ru-RU"/>
        </w:rPr>
        <w:t xml:space="preserve">Уровень исполнения и структура расходов областного бюджета на социальную сферу в динамике за 2011-2013 годы представлены в таблице </w:t>
      </w:r>
      <w:r>
        <w:rPr>
          <w:rFonts w:ascii="Times New Roman" w:eastAsia="Times New Roman" w:hAnsi="Times New Roman" w:cs="Times New Roman"/>
          <w:sz w:val="24"/>
          <w:szCs w:val="20"/>
          <w:lang w:eastAsia="ru-RU"/>
        </w:rPr>
        <w:t>2</w:t>
      </w:r>
      <w:r w:rsidRPr="000A46C3">
        <w:rPr>
          <w:rFonts w:ascii="Times New Roman" w:eastAsia="Times New Roman" w:hAnsi="Times New Roman" w:cs="Times New Roman"/>
          <w:sz w:val="24"/>
          <w:szCs w:val="20"/>
          <w:lang w:eastAsia="ru-RU"/>
        </w:rPr>
        <w:t>.</w:t>
      </w:r>
    </w:p>
    <w:p w:rsidR="008E58EF" w:rsidRPr="00863467" w:rsidRDefault="008E58EF" w:rsidP="008E58EF">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863467">
        <w:rPr>
          <w:rFonts w:ascii="Times New Roman" w:eastAsia="Times New Roman" w:hAnsi="Times New Roman" w:cs="Times New Roman"/>
          <w:b/>
          <w:sz w:val="24"/>
          <w:szCs w:val="20"/>
          <w:lang w:eastAsia="ru-RU"/>
        </w:rPr>
        <w:t xml:space="preserve">Таблица </w:t>
      </w:r>
      <w:r>
        <w:rPr>
          <w:rFonts w:ascii="Times New Roman" w:eastAsia="Times New Roman" w:hAnsi="Times New Roman" w:cs="Times New Roman"/>
          <w:b/>
          <w:sz w:val="24"/>
          <w:szCs w:val="20"/>
          <w:lang w:eastAsia="ru-RU"/>
        </w:rPr>
        <w:t>2</w:t>
      </w:r>
    </w:p>
    <w:p w:rsidR="008E58EF" w:rsidRPr="000A46C3" w:rsidRDefault="008E58EF" w:rsidP="008E58EF">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0A46C3">
        <w:rPr>
          <w:rFonts w:ascii="Times New Roman" w:eastAsia="Times New Roman" w:hAnsi="Times New Roman" w:cs="Times New Roman"/>
          <w:b/>
          <w:sz w:val="24"/>
          <w:szCs w:val="20"/>
          <w:lang w:eastAsia="ru-RU"/>
        </w:rPr>
        <w:t xml:space="preserve">Уровень исполнения и структура расходов областного бюджета </w:t>
      </w:r>
    </w:p>
    <w:p w:rsidR="008E58EF" w:rsidRPr="000A46C3" w:rsidRDefault="008E58EF" w:rsidP="008E58E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0A46C3">
        <w:rPr>
          <w:rFonts w:ascii="Times New Roman" w:eastAsia="Times New Roman" w:hAnsi="Times New Roman" w:cs="Times New Roman"/>
          <w:b/>
          <w:sz w:val="24"/>
          <w:szCs w:val="20"/>
          <w:lang w:eastAsia="ru-RU"/>
        </w:rPr>
        <w:t>на социальную сферу за 2011-2013 годы</w:t>
      </w:r>
    </w:p>
    <w:p w:rsidR="008E58EF" w:rsidRPr="001955B0" w:rsidRDefault="008E58EF" w:rsidP="008E58E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1955B0">
        <w:rPr>
          <w:rFonts w:ascii="Times New Roman" w:eastAsia="Times New Roman" w:hAnsi="Times New Roman" w:cs="Times New Roman"/>
          <w:sz w:val="24"/>
          <w:szCs w:val="20"/>
          <w:lang w:eastAsia="ru-RU"/>
        </w:rPr>
        <w:t>тыс. рублей</w:t>
      </w:r>
    </w:p>
    <w:p w:rsidR="008E58EF" w:rsidRPr="007A5C2E" w:rsidRDefault="008E58EF" w:rsidP="008E58EF">
      <w:pPr>
        <w:widowControl w:val="0"/>
        <w:autoSpaceDE w:val="0"/>
        <w:autoSpaceDN w:val="0"/>
        <w:adjustRightInd w:val="0"/>
        <w:spacing w:after="0" w:line="264" w:lineRule="auto"/>
        <w:jc w:val="both"/>
        <w:rPr>
          <w:rFonts w:ascii="Times New Roman" w:eastAsia="Times New Roman" w:hAnsi="Times New Roman" w:cs="Times New Roman"/>
          <w:sz w:val="24"/>
          <w:szCs w:val="20"/>
          <w:lang w:eastAsia="ru-RU"/>
        </w:rPr>
      </w:pPr>
      <w:r w:rsidRPr="001955B0">
        <w:rPr>
          <w:noProof/>
          <w:lang w:eastAsia="ru-RU"/>
        </w:rPr>
        <w:drawing>
          <wp:inline distT="0" distB="0" distL="0" distR="0" wp14:anchorId="2A5F70EC" wp14:editId="2A7BE0C2">
            <wp:extent cx="5940425" cy="3055967"/>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3055967"/>
                    </a:xfrm>
                    <a:prstGeom prst="rect">
                      <a:avLst/>
                    </a:prstGeom>
                    <a:noFill/>
                    <a:ln>
                      <a:noFill/>
                    </a:ln>
                  </pic:spPr>
                </pic:pic>
              </a:graphicData>
            </a:graphic>
          </wp:inline>
        </w:drawing>
      </w:r>
    </w:p>
    <w:p w:rsidR="00B765E1" w:rsidRPr="005A75F5" w:rsidRDefault="00B765E1" w:rsidP="00B765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A75F5">
        <w:rPr>
          <w:rFonts w:ascii="Times New Roman" w:eastAsia="Times New Roman" w:hAnsi="Times New Roman" w:cs="Times New Roman"/>
          <w:sz w:val="24"/>
          <w:szCs w:val="24"/>
          <w:lang w:eastAsia="ru-RU"/>
        </w:rPr>
        <w:t>Законом Амурской области «Об областном бюджете на 2013 год и плановый период 2014</w:t>
      </w:r>
      <w:r>
        <w:rPr>
          <w:rFonts w:ascii="Times New Roman" w:eastAsia="Times New Roman" w:hAnsi="Times New Roman" w:cs="Times New Roman"/>
          <w:sz w:val="24"/>
          <w:szCs w:val="24"/>
          <w:lang w:eastAsia="ru-RU"/>
        </w:rPr>
        <w:t xml:space="preserve"> и </w:t>
      </w:r>
      <w:r w:rsidRPr="005A75F5">
        <w:rPr>
          <w:rFonts w:ascii="Times New Roman" w:eastAsia="Times New Roman" w:hAnsi="Times New Roman" w:cs="Times New Roman"/>
          <w:sz w:val="24"/>
          <w:szCs w:val="24"/>
          <w:lang w:eastAsia="ru-RU"/>
        </w:rPr>
        <w:t>2015 год</w:t>
      </w:r>
      <w:r>
        <w:rPr>
          <w:rFonts w:ascii="Times New Roman" w:eastAsia="Times New Roman" w:hAnsi="Times New Roman" w:cs="Times New Roman"/>
          <w:sz w:val="24"/>
          <w:szCs w:val="24"/>
          <w:lang w:eastAsia="ru-RU"/>
        </w:rPr>
        <w:t>ов»</w:t>
      </w:r>
      <w:r w:rsidRPr="005A75F5">
        <w:rPr>
          <w:rFonts w:ascii="Times New Roman" w:eastAsia="Times New Roman" w:hAnsi="Times New Roman" w:cs="Times New Roman"/>
          <w:sz w:val="24"/>
          <w:szCs w:val="24"/>
          <w:lang w:eastAsia="ru-RU"/>
        </w:rPr>
        <w:t xml:space="preserve"> утвержден размер резервного фонда </w:t>
      </w:r>
      <w:r>
        <w:rPr>
          <w:rFonts w:ascii="Times New Roman" w:eastAsia="Times New Roman" w:hAnsi="Times New Roman" w:cs="Times New Roman"/>
          <w:sz w:val="24"/>
          <w:szCs w:val="24"/>
          <w:lang w:eastAsia="ru-RU"/>
        </w:rPr>
        <w:t>П</w:t>
      </w:r>
      <w:r w:rsidRPr="005A75F5">
        <w:rPr>
          <w:rFonts w:ascii="Times New Roman" w:eastAsia="Times New Roman" w:hAnsi="Times New Roman" w:cs="Times New Roman"/>
          <w:sz w:val="24"/>
          <w:szCs w:val="24"/>
          <w:lang w:eastAsia="ru-RU"/>
        </w:rPr>
        <w:t>равительства Амурской области в сумме 1471</w:t>
      </w:r>
      <w:r w:rsidR="00602396">
        <w:rPr>
          <w:rFonts w:ascii="Times New Roman" w:eastAsia="Times New Roman" w:hAnsi="Times New Roman" w:cs="Times New Roman"/>
          <w:sz w:val="24"/>
          <w:szCs w:val="24"/>
          <w:lang w:eastAsia="ru-RU"/>
        </w:rPr>
        <w:t>,5 млн</w:t>
      </w:r>
      <w:r w:rsidRPr="005A75F5">
        <w:rPr>
          <w:rFonts w:ascii="Times New Roman" w:eastAsia="Times New Roman" w:hAnsi="Times New Roman" w:cs="Times New Roman"/>
          <w:sz w:val="24"/>
          <w:szCs w:val="24"/>
          <w:lang w:eastAsia="ru-RU"/>
        </w:rPr>
        <w:t>. рублей.</w:t>
      </w:r>
    </w:p>
    <w:p w:rsidR="00B765E1" w:rsidRPr="00B82265" w:rsidRDefault="00B765E1" w:rsidP="00B765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82265">
        <w:rPr>
          <w:rFonts w:ascii="Times New Roman" w:eastAsia="Times New Roman" w:hAnsi="Times New Roman" w:cs="Times New Roman"/>
          <w:sz w:val="24"/>
          <w:szCs w:val="24"/>
          <w:lang w:eastAsia="ru-RU"/>
        </w:rPr>
        <w:t xml:space="preserve">Согласно </w:t>
      </w:r>
      <w:r w:rsidRPr="00F53395">
        <w:rPr>
          <w:rFonts w:ascii="Times New Roman" w:eastAsia="Times New Roman" w:hAnsi="Times New Roman" w:cs="Times New Roman"/>
          <w:sz w:val="24"/>
          <w:szCs w:val="24"/>
          <w:lang w:eastAsia="ru-RU"/>
        </w:rPr>
        <w:t>приложению № 5</w:t>
      </w:r>
      <w:r w:rsidRPr="00B82265">
        <w:rPr>
          <w:rFonts w:ascii="Times New Roman" w:eastAsia="Times New Roman" w:hAnsi="Times New Roman" w:cs="Times New Roman"/>
          <w:sz w:val="24"/>
          <w:szCs w:val="24"/>
          <w:lang w:eastAsia="ru-RU"/>
        </w:rPr>
        <w:t xml:space="preserve"> «Исполнение по ведомственной структуре расходов областного бюджета за 2013 год» к проекту закона Амурской области «Об исполнении областного бюджета за 2013 год» кассовое исполнение по целевой статье </w:t>
      </w:r>
      <w:r w:rsidRPr="00B82265">
        <w:rPr>
          <w:rFonts w:ascii="Times New Roman" w:eastAsia="Times New Roman" w:hAnsi="Times New Roman" w:cs="Times New Roman"/>
          <w:sz w:val="24"/>
          <w:szCs w:val="24"/>
          <w:lang w:eastAsia="ru-RU"/>
        </w:rPr>
        <w:br/>
        <w:t xml:space="preserve">0700400 «Резервные фонды исполнительных органов государственной власти субъектов Российской Федерации» составило </w:t>
      </w:r>
      <w:r>
        <w:rPr>
          <w:rFonts w:ascii="Times New Roman" w:eastAsia="Times New Roman" w:hAnsi="Times New Roman" w:cs="Times New Roman"/>
          <w:sz w:val="24"/>
          <w:szCs w:val="24"/>
          <w:lang w:eastAsia="ru-RU"/>
        </w:rPr>
        <w:t>1114</w:t>
      </w:r>
      <w:r w:rsidR="00602396">
        <w:rPr>
          <w:rFonts w:ascii="Times New Roman" w:eastAsia="Times New Roman" w:hAnsi="Times New Roman" w:cs="Times New Roman"/>
          <w:sz w:val="24"/>
          <w:szCs w:val="24"/>
          <w:lang w:eastAsia="ru-RU"/>
        </w:rPr>
        <w:t>,2 млн</w:t>
      </w:r>
      <w:r w:rsidRPr="00B82265">
        <w:rPr>
          <w:rFonts w:ascii="Times New Roman" w:eastAsia="Times New Roman" w:hAnsi="Times New Roman" w:cs="Times New Roman"/>
          <w:sz w:val="24"/>
          <w:szCs w:val="24"/>
          <w:lang w:eastAsia="ru-RU"/>
        </w:rPr>
        <w:t xml:space="preserve">. рублей, или </w:t>
      </w:r>
      <w:r>
        <w:rPr>
          <w:rFonts w:ascii="Times New Roman" w:eastAsia="Times New Roman" w:hAnsi="Times New Roman" w:cs="Times New Roman"/>
          <w:sz w:val="24"/>
          <w:szCs w:val="24"/>
          <w:lang w:eastAsia="ru-RU"/>
        </w:rPr>
        <w:t>1,8 процента общего объема расходов областного бюджета и 75,7 процента утвержденных бюджетных ассигнований</w:t>
      </w:r>
      <w:r w:rsidRPr="00B82265">
        <w:rPr>
          <w:rFonts w:ascii="Times New Roman" w:eastAsia="Times New Roman" w:hAnsi="Times New Roman" w:cs="Times New Roman"/>
          <w:sz w:val="24"/>
          <w:szCs w:val="24"/>
          <w:lang w:eastAsia="ru-RU"/>
        </w:rPr>
        <w:t>.</w:t>
      </w:r>
      <w:proofErr w:type="gramEnd"/>
    </w:p>
    <w:p w:rsidR="00B765E1" w:rsidRPr="004F5D0C" w:rsidRDefault="00B765E1" w:rsidP="00B765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5D0C">
        <w:rPr>
          <w:rFonts w:ascii="Times New Roman" w:eastAsia="Times New Roman" w:hAnsi="Times New Roman" w:cs="Times New Roman"/>
          <w:sz w:val="24"/>
          <w:szCs w:val="20"/>
          <w:lang w:eastAsia="ru-RU"/>
        </w:rPr>
        <w:t xml:space="preserve">В составе приложений к проекту закона «Об исполнении областного бюджета </w:t>
      </w:r>
      <w:r w:rsidRPr="004F5D0C">
        <w:rPr>
          <w:rFonts w:ascii="Times New Roman" w:eastAsia="Times New Roman" w:hAnsi="Times New Roman" w:cs="Times New Roman"/>
          <w:sz w:val="24"/>
          <w:szCs w:val="20"/>
          <w:lang w:eastAsia="ru-RU"/>
        </w:rPr>
        <w:br/>
        <w:t xml:space="preserve">за 2013 год» представлен отчет </w:t>
      </w:r>
      <w:r w:rsidRPr="004F5D0C">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 использовании бюджетных ассигнований</w:t>
      </w:r>
      <w:r w:rsidRPr="004F5D0C">
        <w:rPr>
          <w:rFonts w:ascii="Times New Roman" w:eastAsia="Times New Roman" w:hAnsi="Times New Roman" w:cs="Times New Roman"/>
          <w:sz w:val="24"/>
          <w:szCs w:val="24"/>
          <w:lang w:eastAsia="ru-RU"/>
        </w:rPr>
        <w:t xml:space="preserve"> резервного фонда Правительства области за 2013 год</w:t>
      </w:r>
      <w:r>
        <w:rPr>
          <w:rFonts w:ascii="Times New Roman" w:eastAsia="Times New Roman" w:hAnsi="Times New Roman" w:cs="Times New Roman"/>
          <w:sz w:val="24"/>
          <w:szCs w:val="24"/>
          <w:lang w:eastAsia="ru-RU"/>
        </w:rPr>
        <w:t xml:space="preserve"> (далее по  тексту – Отчет)</w:t>
      </w:r>
      <w:r w:rsidRPr="004F5D0C">
        <w:rPr>
          <w:rFonts w:ascii="Times New Roman" w:eastAsia="Times New Roman" w:hAnsi="Times New Roman" w:cs="Times New Roman"/>
          <w:sz w:val="24"/>
          <w:szCs w:val="24"/>
          <w:lang w:eastAsia="ru-RU"/>
        </w:rPr>
        <w:t>.</w:t>
      </w:r>
    </w:p>
    <w:p w:rsidR="00B765E1" w:rsidRPr="0093761E" w:rsidRDefault="00B765E1" w:rsidP="00B765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761E">
        <w:rPr>
          <w:rFonts w:ascii="Times New Roman" w:eastAsia="Times New Roman" w:hAnsi="Times New Roman" w:cs="Times New Roman"/>
          <w:sz w:val="24"/>
          <w:szCs w:val="24"/>
          <w:lang w:eastAsia="ru-RU"/>
        </w:rPr>
        <w:t>Объем средств резервного фонда по исполнению, согласно ведомственной структуре расходов областного бюджета, соответствует сумме, представленной в Отчете.</w:t>
      </w:r>
    </w:p>
    <w:p w:rsidR="00B765E1" w:rsidRPr="002B6E31" w:rsidRDefault="00B765E1" w:rsidP="00B76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6E31">
        <w:rPr>
          <w:rFonts w:ascii="Times New Roman" w:eastAsia="Times New Roman" w:hAnsi="Times New Roman" w:cs="Times New Roman"/>
          <w:sz w:val="24"/>
          <w:szCs w:val="24"/>
          <w:lang w:eastAsia="ru-RU"/>
        </w:rPr>
        <w:t>Согласно</w:t>
      </w:r>
      <w:r w:rsidRPr="002B6E31">
        <w:rPr>
          <w:rFonts w:ascii="Times New Roman" w:hAnsi="Times New Roman" w:cs="Times New Roman"/>
          <w:sz w:val="24"/>
          <w:szCs w:val="24"/>
        </w:rPr>
        <w:t xml:space="preserve"> Правилам использования бюджетных ассигнований резервного фонда Правительства Амурской области, утвержденным </w:t>
      </w:r>
      <w:r>
        <w:rPr>
          <w:rFonts w:ascii="Times New Roman" w:hAnsi="Times New Roman" w:cs="Times New Roman"/>
          <w:sz w:val="24"/>
          <w:szCs w:val="24"/>
        </w:rPr>
        <w:t>п</w:t>
      </w:r>
      <w:r w:rsidRPr="002B6E31">
        <w:rPr>
          <w:rFonts w:ascii="Times New Roman" w:hAnsi="Times New Roman" w:cs="Times New Roman"/>
          <w:sz w:val="24"/>
          <w:szCs w:val="24"/>
        </w:rPr>
        <w:t xml:space="preserve">остановлением Правительства Амурской области от 15.04.2014 № 241, </w:t>
      </w:r>
      <w:r>
        <w:rPr>
          <w:rFonts w:ascii="Times New Roman" w:eastAsia="Times New Roman" w:hAnsi="Times New Roman" w:cs="Times New Roman"/>
          <w:sz w:val="24"/>
          <w:szCs w:val="24"/>
          <w:lang w:eastAsia="ru-RU"/>
        </w:rPr>
        <w:t>с</w:t>
      </w:r>
      <w:r w:rsidRPr="002B6E31">
        <w:rPr>
          <w:rFonts w:ascii="Times New Roman" w:eastAsia="Times New Roman" w:hAnsi="Times New Roman" w:cs="Times New Roman"/>
          <w:sz w:val="24"/>
          <w:szCs w:val="24"/>
          <w:lang w:eastAsia="ru-RU"/>
        </w:rPr>
        <w:t xml:space="preserve">редства резервного фонда расходуются на финансирование непредвиденных расходов и мероприятий, которые не могли быть предусмотрены заранее при утверждении областного бюджета на текущий финансовый год и плановый период и не </w:t>
      </w:r>
      <w:r w:rsidRPr="002B6E31">
        <w:rPr>
          <w:rFonts w:ascii="Times New Roman" w:eastAsia="Times New Roman" w:hAnsi="Times New Roman" w:cs="Times New Roman"/>
          <w:sz w:val="24"/>
          <w:szCs w:val="24"/>
          <w:lang w:eastAsia="ru-RU"/>
        </w:rPr>
        <w:lastRenderedPageBreak/>
        <w:t>могут быть отложены до утверждения областного бюджета на очередной финансовый год и плановый</w:t>
      </w:r>
      <w:proofErr w:type="gramEnd"/>
      <w:r w:rsidRPr="002B6E31">
        <w:rPr>
          <w:rFonts w:ascii="Times New Roman" w:eastAsia="Times New Roman" w:hAnsi="Times New Roman" w:cs="Times New Roman"/>
          <w:sz w:val="24"/>
          <w:szCs w:val="24"/>
          <w:lang w:eastAsia="ru-RU"/>
        </w:rPr>
        <w:t xml:space="preserve"> период,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765E1" w:rsidRDefault="00B765E1" w:rsidP="00B765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684">
        <w:rPr>
          <w:rFonts w:ascii="Times New Roman" w:eastAsia="Times New Roman" w:hAnsi="Times New Roman" w:cs="Times New Roman"/>
          <w:sz w:val="24"/>
          <w:szCs w:val="24"/>
          <w:lang w:eastAsia="ru-RU"/>
        </w:rPr>
        <w:t xml:space="preserve">В 2013 году из резервного фонда по распоряжениям Правительства области выделено </w:t>
      </w:r>
      <w:r>
        <w:rPr>
          <w:rFonts w:ascii="Times New Roman" w:eastAsia="Times New Roman" w:hAnsi="Times New Roman" w:cs="Times New Roman"/>
          <w:sz w:val="24"/>
          <w:szCs w:val="24"/>
          <w:lang w:eastAsia="ru-RU"/>
        </w:rPr>
        <w:t>1</w:t>
      </w:r>
      <w:r w:rsidRPr="00CD2684">
        <w:rPr>
          <w:rFonts w:ascii="Times New Roman" w:eastAsia="Times New Roman" w:hAnsi="Times New Roman" w:cs="Times New Roman"/>
          <w:sz w:val="24"/>
          <w:szCs w:val="24"/>
          <w:lang w:eastAsia="ru-RU"/>
        </w:rPr>
        <w:t>183</w:t>
      </w:r>
      <w:r w:rsidR="00602396">
        <w:rPr>
          <w:rFonts w:ascii="Times New Roman" w:eastAsia="Times New Roman" w:hAnsi="Times New Roman" w:cs="Times New Roman"/>
          <w:sz w:val="24"/>
          <w:szCs w:val="24"/>
          <w:lang w:eastAsia="ru-RU"/>
        </w:rPr>
        <w:t>,1 млн</w:t>
      </w:r>
      <w:r w:rsidRPr="00CD2684">
        <w:rPr>
          <w:rFonts w:ascii="Times New Roman" w:eastAsia="Times New Roman" w:hAnsi="Times New Roman" w:cs="Times New Roman"/>
          <w:sz w:val="24"/>
          <w:szCs w:val="24"/>
          <w:lang w:eastAsia="ru-RU"/>
        </w:rPr>
        <w:t>. рублей. Кассовые расходы резервного фонда Правительства области составили</w:t>
      </w:r>
      <w:r w:rsidR="00602396">
        <w:rPr>
          <w:rFonts w:ascii="Times New Roman" w:eastAsia="Times New Roman" w:hAnsi="Times New Roman" w:cs="Times New Roman"/>
          <w:sz w:val="24"/>
          <w:szCs w:val="24"/>
          <w:lang w:eastAsia="ru-RU"/>
        </w:rPr>
        <w:t xml:space="preserve"> </w:t>
      </w:r>
      <w:r w:rsidRPr="00CD2684">
        <w:rPr>
          <w:rFonts w:ascii="Times New Roman" w:eastAsia="Times New Roman" w:hAnsi="Times New Roman" w:cs="Times New Roman"/>
          <w:sz w:val="24"/>
          <w:szCs w:val="24"/>
          <w:lang w:eastAsia="ru-RU"/>
        </w:rPr>
        <w:t>1114</w:t>
      </w:r>
      <w:r w:rsidR="00602396">
        <w:rPr>
          <w:rFonts w:ascii="Times New Roman" w:eastAsia="Times New Roman" w:hAnsi="Times New Roman" w:cs="Times New Roman"/>
          <w:sz w:val="24"/>
          <w:szCs w:val="24"/>
          <w:lang w:eastAsia="ru-RU"/>
        </w:rPr>
        <w:t>,2 млн</w:t>
      </w:r>
      <w:r w:rsidRPr="00CD2684">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из них:</w:t>
      </w:r>
    </w:p>
    <w:p w:rsidR="00B765E1" w:rsidRDefault="00B765E1" w:rsidP="00B765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резервного фонда, выделенные в соответствии с распоряжениями Правительства области министерству пожарной безопасности и гражданской защиты Амурской области на ликвидацию последствий чрезвычайной ситуации, вызванной наводнением, в сумме 1125</w:t>
      </w:r>
      <w:r w:rsidR="00602396">
        <w:rPr>
          <w:rFonts w:ascii="Times New Roman" w:eastAsia="Times New Roman" w:hAnsi="Times New Roman" w:cs="Times New Roman"/>
          <w:sz w:val="24"/>
          <w:szCs w:val="24"/>
          <w:lang w:eastAsia="ru-RU"/>
        </w:rPr>
        <w:t>,8 млн</w:t>
      </w:r>
      <w:r>
        <w:rPr>
          <w:rFonts w:ascii="Times New Roman" w:eastAsia="Times New Roman" w:hAnsi="Times New Roman" w:cs="Times New Roman"/>
          <w:sz w:val="24"/>
          <w:szCs w:val="24"/>
          <w:lang w:eastAsia="ru-RU"/>
        </w:rPr>
        <w:t>. рублей, исполнены в сумме 1056</w:t>
      </w:r>
      <w:r w:rsidR="00602396">
        <w:rPr>
          <w:rFonts w:ascii="Times New Roman" w:eastAsia="Times New Roman" w:hAnsi="Times New Roman" w:cs="Times New Roman"/>
          <w:sz w:val="24"/>
          <w:szCs w:val="24"/>
          <w:lang w:eastAsia="ru-RU"/>
        </w:rPr>
        <w:t>,9 млн</w:t>
      </w:r>
      <w:r>
        <w:rPr>
          <w:rFonts w:ascii="Times New Roman" w:eastAsia="Times New Roman" w:hAnsi="Times New Roman" w:cs="Times New Roman"/>
          <w:sz w:val="24"/>
          <w:szCs w:val="24"/>
          <w:lang w:eastAsia="ru-RU"/>
        </w:rPr>
        <w:t xml:space="preserve">. рублей, или </w:t>
      </w:r>
      <w:r w:rsidR="0060239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93,4 процента.</w:t>
      </w:r>
    </w:p>
    <w:p w:rsidR="00B765E1" w:rsidRPr="00CD2684" w:rsidRDefault="00B765E1" w:rsidP="00B765E1">
      <w:pPr>
        <w:autoSpaceDE w:val="0"/>
        <w:autoSpaceDN w:val="0"/>
        <w:adjustRightInd w:val="0"/>
        <w:spacing w:after="0" w:line="240" w:lineRule="auto"/>
        <w:ind w:firstLine="708"/>
        <w:jc w:val="both"/>
        <w:rPr>
          <w:rFonts w:ascii="Times New Roman" w:hAnsi="Times New Roman" w:cs="Times New Roman"/>
          <w:b/>
          <w:i/>
          <w:sz w:val="24"/>
          <w:szCs w:val="24"/>
        </w:rPr>
      </w:pPr>
      <w:r w:rsidRPr="00AB41EB">
        <w:rPr>
          <w:rFonts w:ascii="Times New Roman" w:eastAsia="Times New Roman" w:hAnsi="Times New Roman" w:cs="Times New Roman"/>
          <w:b/>
          <w:i/>
          <w:sz w:val="24"/>
          <w:szCs w:val="24"/>
          <w:lang w:eastAsia="ru-RU"/>
        </w:rPr>
        <w:t>Следует отметить, что Отчет не содержит информации о кассовом исполнении средств резервного фонда в разрезе распоряжений. В нем представлена информация только о выделенных по распоряжениям суммах. В связи с этим не представляется возможным провести анализ полноты исполнения распоряжений Правительства области.</w:t>
      </w:r>
    </w:p>
    <w:p w:rsidR="00B765E1" w:rsidRPr="00CD2684" w:rsidRDefault="00B765E1" w:rsidP="00B765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полном объеме использованы средства резервного фонда, выделенные по распоряжениям министерству социальной защиты населения Амурской области в сумме 400,0 тыс. рублей, управлению лесного хозяйства Амурской области в сумме 4360,0 тыс. рублей, управлению ветеринарии Амурской области в сумме 6205,6 тыс. рублей, министерству здравоохранения Амурской области в сумме 11480,8 тыс. рублей, министерству финансов Амурской области в сумме 30350,0 тыс. рублей и Правительству</w:t>
      </w:r>
      <w:proofErr w:type="gramEnd"/>
      <w:r>
        <w:rPr>
          <w:rFonts w:ascii="Times New Roman" w:eastAsia="Times New Roman" w:hAnsi="Times New Roman" w:cs="Times New Roman"/>
          <w:sz w:val="24"/>
          <w:szCs w:val="24"/>
          <w:lang w:eastAsia="ru-RU"/>
        </w:rPr>
        <w:t xml:space="preserve"> Амурской области в сумме 123,2 тыс. рублей.</w:t>
      </w:r>
    </w:p>
    <w:p w:rsidR="00401EF2" w:rsidRDefault="00401EF2" w:rsidP="00401EF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7A5C2E">
        <w:rPr>
          <w:rFonts w:ascii="Times New Roman" w:eastAsia="Times New Roman" w:hAnsi="Times New Roman" w:cs="Times New Roman"/>
          <w:b/>
          <w:sz w:val="24"/>
          <w:szCs w:val="24"/>
          <w:lang w:eastAsia="ru-RU"/>
        </w:rPr>
        <w:t xml:space="preserve">Исполнение областного бюджета по </w:t>
      </w:r>
      <w:r>
        <w:rPr>
          <w:rFonts w:ascii="Times New Roman" w:eastAsia="Times New Roman" w:hAnsi="Times New Roman" w:cs="Times New Roman"/>
          <w:b/>
          <w:sz w:val="24"/>
          <w:szCs w:val="24"/>
          <w:lang w:eastAsia="ru-RU"/>
        </w:rPr>
        <w:t xml:space="preserve">доходам и </w:t>
      </w:r>
      <w:r w:rsidRPr="007A5C2E">
        <w:rPr>
          <w:rFonts w:ascii="Times New Roman" w:eastAsia="Times New Roman" w:hAnsi="Times New Roman" w:cs="Times New Roman"/>
          <w:b/>
          <w:sz w:val="24"/>
          <w:szCs w:val="24"/>
          <w:lang w:eastAsia="ru-RU"/>
        </w:rPr>
        <w:t xml:space="preserve">расходам </w:t>
      </w:r>
      <w:r w:rsidRPr="008043E2">
        <w:rPr>
          <w:rFonts w:ascii="Times New Roman" w:eastAsia="Times New Roman" w:hAnsi="Times New Roman" w:cs="Times New Roman"/>
          <w:b/>
          <w:sz w:val="24"/>
          <w:szCs w:val="24"/>
          <w:lang w:eastAsia="ru-RU"/>
        </w:rPr>
        <w:t>дорожного фонда Амурской области</w:t>
      </w:r>
      <w:r>
        <w:rPr>
          <w:rFonts w:ascii="Times New Roman" w:eastAsia="Times New Roman" w:hAnsi="Times New Roman" w:cs="Times New Roman"/>
          <w:b/>
          <w:sz w:val="24"/>
          <w:szCs w:val="24"/>
          <w:lang w:eastAsia="ru-RU"/>
        </w:rPr>
        <w:t xml:space="preserve"> за 2013 год</w:t>
      </w:r>
    </w:p>
    <w:p w:rsidR="00D0102F" w:rsidRPr="003169F2" w:rsidRDefault="00D0102F" w:rsidP="003169F2">
      <w:pPr>
        <w:spacing w:after="0" w:line="240" w:lineRule="auto"/>
        <w:ind w:firstLine="709"/>
        <w:jc w:val="both"/>
        <w:rPr>
          <w:rFonts w:ascii="Times New Roman" w:eastAsia="Times New Roman" w:hAnsi="Times New Roman" w:cs="Times New Roman"/>
          <w:sz w:val="24"/>
          <w:szCs w:val="24"/>
          <w:lang w:eastAsia="ru-RU"/>
        </w:rPr>
      </w:pPr>
      <w:r w:rsidRPr="002F247D">
        <w:rPr>
          <w:rFonts w:ascii="Times New Roman" w:eastAsia="Times New Roman" w:hAnsi="Times New Roman" w:cs="Times New Roman"/>
          <w:sz w:val="24"/>
          <w:szCs w:val="24"/>
          <w:lang w:eastAsia="ru-RU"/>
        </w:rPr>
        <w:t xml:space="preserve">Исполнение доходов дорожного фонда Амурской области составляет 8470,9 млн. </w:t>
      </w:r>
      <w:r w:rsidRPr="003169F2">
        <w:rPr>
          <w:rFonts w:ascii="Times New Roman" w:eastAsia="Times New Roman" w:hAnsi="Times New Roman" w:cs="Times New Roman"/>
          <w:sz w:val="24"/>
          <w:szCs w:val="24"/>
          <w:lang w:eastAsia="ru-RU"/>
        </w:rPr>
        <w:t xml:space="preserve">рублей и в 2,8 раза превышает плановый объем поступлений. Рост объема доходов дорожного фонда в 2013 году обусловлен существенным увеличением средств, поступивших в областной бюджет в рамках реализации мероприятий федеральных целевых программ: </w:t>
      </w:r>
      <w:r w:rsidRPr="00B411D3">
        <w:rPr>
          <w:rFonts w:ascii="Times New Roman" w:eastAsia="Times New Roman" w:hAnsi="Times New Roman" w:cs="Times New Roman"/>
          <w:sz w:val="24"/>
          <w:szCs w:val="24"/>
          <w:lang w:eastAsia="ru-RU"/>
        </w:rPr>
        <w:t>«Экономическое и социальное развитие Дальнего Востока и Забайкалья на период до 2013 года» и «Развитие транспортной системы России (2010-2015 годы)»,</w:t>
      </w:r>
      <w:r w:rsidRPr="003169F2">
        <w:rPr>
          <w:rFonts w:ascii="Times New Roman" w:eastAsia="Times New Roman" w:hAnsi="Times New Roman" w:cs="Times New Roman"/>
          <w:sz w:val="24"/>
          <w:szCs w:val="24"/>
          <w:lang w:eastAsia="ru-RU"/>
        </w:rPr>
        <w:t xml:space="preserve"> а также поступлением средств межбюджетных трансфертов из резервного фонда Правительства Российской Федерации на восстановление поврежденных крупномасштабным наводнением автомобильных дорог регионального, межмуниципального и местного значения. </w:t>
      </w:r>
    </w:p>
    <w:p w:rsidR="00D0102F" w:rsidRPr="003169F2" w:rsidRDefault="00D0102F" w:rsidP="003169F2">
      <w:pPr>
        <w:spacing w:after="0" w:line="240" w:lineRule="auto"/>
        <w:ind w:firstLine="709"/>
        <w:jc w:val="both"/>
        <w:rPr>
          <w:rFonts w:ascii="Times New Roman" w:eastAsia="Times New Roman" w:hAnsi="Times New Roman" w:cs="Times New Roman"/>
          <w:sz w:val="24"/>
          <w:szCs w:val="24"/>
          <w:lang w:eastAsia="ru-RU"/>
        </w:rPr>
      </w:pPr>
      <w:r w:rsidRPr="003169F2">
        <w:rPr>
          <w:rFonts w:ascii="Times New Roman" w:eastAsia="Times New Roman" w:hAnsi="Times New Roman" w:cs="Times New Roman"/>
          <w:sz w:val="24"/>
          <w:szCs w:val="24"/>
          <w:lang w:eastAsia="ru-RU"/>
        </w:rPr>
        <w:t xml:space="preserve">Структура источников формирования дорожного фонда приведена на </w:t>
      </w:r>
      <w:r w:rsidR="00B411D3">
        <w:rPr>
          <w:rFonts w:ascii="Times New Roman" w:eastAsia="Times New Roman" w:hAnsi="Times New Roman" w:cs="Times New Roman"/>
          <w:sz w:val="24"/>
          <w:szCs w:val="24"/>
          <w:lang w:eastAsia="ru-RU"/>
        </w:rPr>
        <w:t>рисунке 17</w:t>
      </w:r>
      <w:r w:rsidRPr="003169F2">
        <w:rPr>
          <w:rFonts w:ascii="Times New Roman" w:eastAsia="Times New Roman" w:hAnsi="Times New Roman" w:cs="Times New Roman"/>
          <w:sz w:val="24"/>
          <w:szCs w:val="24"/>
          <w:lang w:eastAsia="ru-RU"/>
        </w:rPr>
        <w:t>.</w:t>
      </w:r>
    </w:p>
    <w:p w:rsidR="00FF13B7" w:rsidRDefault="00D0102F" w:rsidP="00FF13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noProof/>
          <w:color w:val="FF0000"/>
          <w:sz w:val="24"/>
          <w:szCs w:val="24"/>
          <w:lang w:eastAsia="ru-RU"/>
        </w:rPr>
        <w:drawing>
          <wp:inline distT="0" distB="0" distL="0" distR="0" wp14:anchorId="743C6CF1" wp14:editId="4D2C4572">
            <wp:extent cx="6143625" cy="2743200"/>
            <wp:effectExtent l="0" t="0" r="0" b="19050"/>
            <wp:docPr id="50" name="Диаграм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0102F" w:rsidRPr="00FF13B7" w:rsidRDefault="00B411D3" w:rsidP="00FF13B7">
      <w:pPr>
        <w:spacing w:after="0" w:line="240" w:lineRule="auto"/>
        <w:ind w:firstLine="709"/>
        <w:jc w:val="center"/>
        <w:rPr>
          <w:rFonts w:ascii="Times New Roman" w:eastAsia="Times New Roman" w:hAnsi="Times New Roman" w:cs="Times New Roman"/>
          <w:sz w:val="20"/>
          <w:szCs w:val="20"/>
          <w:lang w:eastAsia="ru-RU"/>
        </w:rPr>
      </w:pPr>
      <w:r w:rsidRPr="00FF13B7">
        <w:rPr>
          <w:rFonts w:ascii="Times New Roman" w:eastAsia="Times New Roman" w:hAnsi="Times New Roman" w:cs="Times New Roman"/>
          <w:b/>
          <w:sz w:val="20"/>
          <w:szCs w:val="20"/>
          <w:lang w:eastAsia="ru-RU"/>
        </w:rPr>
        <w:t>Рис.17</w:t>
      </w:r>
      <w:r w:rsidR="006A097D" w:rsidRPr="00FF13B7">
        <w:rPr>
          <w:rFonts w:ascii="Times New Roman" w:eastAsia="Times New Roman" w:hAnsi="Times New Roman" w:cs="Times New Roman"/>
          <w:b/>
          <w:sz w:val="20"/>
          <w:szCs w:val="20"/>
          <w:lang w:eastAsia="ru-RU"/>
        </w:rPr>
        <w:t xml:space="preserve"> -</w:t>
      </w:r>
      <w:r w:rsidR="00D0102F" w:rsidRPr="00FF13B7">
        <w:rPr>
          <w:rFonts w:ascii="Times New Roman" w:eastAsia="Times New Roman" w:hAnsi="Times New Roman" w:cs="Times New Roman"/>
          <w:b/>
          <w:sz w:val="20"/>
          <w:szCs w:val="20"/>
          <w:lang w:eastAsia="ru-RU"/>
        </w:rPr>
        <w:t xml:space="preserve"> Структура источников формирования дорожного фонда в 2013 год</w:t>
      </w:r>
    </w:p>
    <w:p w:rsidR="00D0102F" w:rsidRPr="006A097D" w:rsidRDefault="00D0102F" w:rsidP="006A097D">
      <w:pPr>
        <w:spacing w:after="0" w:line="240" w:lineRule="auto"/>
        <w:ind w:firstLine="709"/>
        <w:jc w:val="both"/>
        <w:rPr>
          <w:rFonts w:ascii="Times New Roman" w:eastAsia="Times New Roman" w:hAnsi="Times New Roman" w:cs="Times New Roman"/>
          <w:sz w:val="24"/>
          <w:szCs w:val="24"/>
          <w:lang w:eastAsia="ru-RU"/>
        </w:rPr>
      </w:pPr>
      <w:r w:rsidRPr="006A097D">
        <w:rPr>
          <w:rFonts w:ascii="Times New Roman" w:eastAsia="Times New Roman" w:hAnsi="Times New Roman" w:cs="Times New Roman"/>
          <w:sz w:val="24"/>
          <w:szCs w:val="24"/>
          <w:lang w:eastAsia="ru-RU"/>
        </w:rPr>
        <w:lastRenderedPageBreak/>
        <w:t>По сравнению с 2012 годом расходы по подразделу «Дорожное хозяйство (дорожные фонды)» увеличились в 2,0 раза.</w:t>
      </w:r>
    </w:p>
    <w:p w:rsidR="00D0102F" w:rsidRPr="006A097D" w:rsidRDefault="00D0102F" w:rsidP="006A09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A097D">
        <w:rPr>
          <w:rFonts w:ascii="Times New Roman" w:eastAsia="Times New Roman" w:hAnsi="Times New Roman" w:cs="Times New Roman"/>
          <w:sz w:val="24"/>
          <w:szCs w:val="24"/>
          <w:lang w:eastAsia="ru-RU"/>
        </w:rPr>
        <w:t xml:space="preserve">Структура расходов дорожного фонда в 2013 году приведена на </w:t>
      </w:r>
      <w:r w:rsidR="006A097D">
        <w:rPr>
          <w:rFonts w:ascii="Times New Roman" w:eastAsia="Times New Roman" w:hAnsi="Times New Roman" w:cs="Times New Roman"/>
          <w:sz w:val="24"/>
          <w:szCs w:val="24"/>
          <w:lang w:eastAsia="ru-RU"/>
        </w:rPr>
        <w:t>рисунке 18</w:t>
      </w:r>
      <w:r w:rsidRPr="006A097D">
        <w:rPr>
          <w:rFonts w:ascii="Times New Roman" w:eastAsia="Times New Roman" w:hAnsi="Times New Roman" w:cs="Times New Roman"/>
          <w:sz w:val="24"/>
          <w:szCs w:val="24"/>
          <w:lang w:eastAsia="ru-RU"/>
        </w:rPr>
        <w:t>.</w:t>
      </w:r>
    </w:p>
    <w:p w:rsidR="00D0102F" w:rsidRPr="006A097D" w:rsidRDefault="00D0102F" w:rsidP="006A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097D">
        <w:rPr>
          <w:rFonts w:ascii="Times New Roman" w:eastAsia="Times New Roman" w:hAnsi="Times New Roman" w:cs="Times New Roman"/>
          <w:sz w:val="24"/>
          <w:szCs w:val="24"/>
          <w:lang w:eastAsia="ru-RU"/>
        </w:rPr>
        <w:t xml:space="preserve">За счет средств субсидий, поступивших в рамках реализации федеральных целевых программ, расходы по осуществлению инвестиций в объекты капитального строительства государственной собственности составили 2512,2 млн. рублей. По сравнению с 2012 годом объем указанных расходов увеличился в 4,7 раза. </w:t>
      </w:r>
    </w:p>
    <w:p w:rsidR="00D0102F" w:rsidRPr="006A097D" w:rsidRDefault="00D0102F" w:rsidP="006A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102F" w:rsidRDefault="00D0102F" w:rsidP="00D010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2A536A00" wp14:editId="5D164CA1">
            <wp:extent cx="6229350" cy="4867275"/>
            <wp:effectExtent l="0" t="0" r="0" b="0"/>
            <wp:docPr id="51"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0102F" w:rsidRPr="006A097D" w:rsidRDefault="006A097D" w:rsidP="00D0102F">
      <w:pPr>
        <w:spacing w:after="0" w:line="240" w:lineRule="auto"/>
        <w:jc w:val="center"/>
        <w:rPr>
          <w:rFonts w:ascii="Times New Roman" w:eastAsia="Times New Roman" w:hAnsi="Times New Roman" w:cs="Times New Roman"/>
          <w:b/>
          <w:sz w:val="24"/>
          <w:szCs w:val="24"/>
          <w:lang w:eastAsia="ru-RU"/>
        </w:rPr>
      </w:pPr>
      <w:r w:rsidRPr="006A097D">
        <w:rPr>
          <w:rFonts w:ascii="Times New Roman" w:eastAsia="Times New Roman" w:hAnsi="Times New Roman" w:cs="Times New Roman"/>
          <w:b/>
          <w:sz w:val="24"/>
          <w:szCs w:val="24"/>
          <w:lang w:eastAsia="ru-RU"/>
        </w:rPr>
        <w:t>Рис.18</w:t>
      </w:r>
      <w:r w:rsidR="00D0102F" w:rsidRPr="006A097D">
        <w:rPr>
          <w:rFonts w:ascii="Times New Roman" w:eastAsia="Times New Roman" w:hAnsi="Times New Roman" w:cs="Times New Roman"/>
          <w:b/>
          <w:sz w:val="24"/>
          <w:szCs w:val="24"/>
          <w:lang w:eastAsia="ru-RU"/>
        </w:rPr>
        <w:t xml:space="preserve"> – Структура расходов дорожного фонда в 2013 году</w:t>
      </w:r>
    </w:p>
    <w:p w:rsidR="00D0102F" w:rsidRDefault="00D0102F" w:rsidP="00D01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102F" w:rsidRPr="006A097D" w:rsidRDefault="00D0102F" w:rsidP="006A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097D">
        <w:rPr>
          <w:rFonts w:ascii="Times New Roman" w:eastAsia="Times New Roman" w:hAnsi="Times New Roman" w:cs="Times New Roman"/>
          <w:sz w:val="24"/>
          <w:szCs w:val="24"/>
          <w:lang w:eastAsia="ru-RU"/>
        </w:rPr>
        <w:t xml:space="preserve">Расходы на восстановление поврежденных крупномасштабным наводнением автомобильных дорог регионального и местного значения составили 1021,2 млн. рублей. </w:t>
      </w:r>
    </w:p>
    <w:p w:rsidR="00D0102F" w:rsidRPr="006A097D" w:rsidRDefault="00D0102F" w:rsidP="006A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097D">
        <w:rPr>
          <w:rFonts w:ascii="Times New Roman" w:eastAsia="Times New Roman" w:hAnsi="Times New Roman" w:cs="Times New Roman"/>
          <w:sz w:val="24"/>
          <w:szCs w:val="24"/>
          <w:lang w:eastAsia="ru-RU"/>
        </w:rPr>
        <w:t xml:space="preserve">Расходы на реализацию долгосрочной целевой программы «Развитие сети автомобильных дорог общего пользования Амурской области в 2010-2015 годах», по сравнению с 2012 годом, увеличились на 28,2 процента. </w:t>
      </w:r>
    </w:p>
    <w:p w:rsidR="00D0102F" w:rsidRPr="006A097D" w:rsidRDefault="00D0102F" w:rsidP="006A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097D">
        <w:rPr>
          <w:rFonts w:ascii="Times New Roman" w:eastAsia="Times New Roman" w:hAnsi="Times New Roman" w:cs="Times New Roman"/>
          <w:sz w:val="24"/>
          <w:szCs w:val="24"/>
          <w:lang w:eastAsia="ru-RU"/>
        </w:rPr>
        <w:t xml:space="preserve">Расходы на содержание, ремонт и приведение в нормативное состояние автомобильных дорог регионального значения в 2013 году составили </w:t>
      </w:r>
      <w:r w:rsidRPr="006A097D">
        <w:rPr>
          <w:rFonts w:ascii="Times New Roman" w:eastAsia="Times New Roman" w:hAnsi="Times New Roman" w:cs="Times New Roman"/>
          <w:sz w:val="24"/>
          <w:szCs w:val="24"/>
          <w:lang w:eastAsia="ru-RU"/>
        </w:rPr>
        <w:br/>
        <w:t xml:space="preserve">1108,7 млн. рублей, что на 17,3 процента меньше аналогичных расходов 2012 года. </w:t>
      </w:r>
    </w:p>
    <w:p w:rsidR="00401EF2" w:rsidRDefault="007B02C9" w:rsidP="00401EF2">
      <w:pPr>
        <w:spacing w:after="0" w:line="240" w:lineRule="auto"/>
        <w:ind w:firstLine="720"/>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7. </w:t>
      </w:r>
      <w:r w:rsidR="00401EF2" w:rsidRPr="008043E2">
        <w:rPr>
          <w:rFonts w:ascii="Times New Roman" w:eastAsia="Times New Roman" w:hAnsi="Times New Roman" w:cs="Times New Roman"/>
          <w:b/>
          <w:iCs/>
          <w:sz w:val="24"/>
          <w:szCs w:val="24"/>
          <w:lang w:eastAsia="ru-RU"/>
        </w:rPr>
        <w:t>Анализ исполнения долгосрочных целевых программ</w:t>
      </w:r>
      <w:r w:rsidR="00401EF2">
        <w:rPr>
          <w:rFonts w:ascii="Times New Roman" w:eastAsia="Times New Roman" w:hAnsi="Times New Roman" w:cs="Times New Roman"/>
          <w:b/>
          <w:iCs/>
          <w:sz w:val="24"/>
          <w:szCs w:val="24"/>
          <w:lang w:eastAsia="ru-RU"/>
        </w:rPr>
        <w:t xml:space="preserve"> в 2013 году</w:t>
      </w:r>
    </w:p>
    <w:p w:rsidR="00401EF2" w:rsidRPr="008043E2" w:rsidRDefault="00401EF2" w:rsidP="00401E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Законом Амурской области от 17</w:t>
      </w:r>
      <w:r w:rsidRPr="008043E2">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2 № 123</w:t>
      </w:r>
      <w:r w:rsidRPr="008043E2">
        <w:rPr>
          <w:rFonts w:ascii="Times New Roman" w:eastAsia="Times New Roman" w:hAnsi="Times New Roman" w:cs="Times New Roman"/>
          <w:sz w:val="24"/>
          <w:szCs w:val="24"/>
          <w:lang w:eastAsia="ru-RU"/>
        </w:rPr>
        <w:t>-ОЗ «Об областном бюджете на</w:t>
      </w:r>
      <w:r>
        <w:rPr>
          <w:rFonts w:ascii="Times New Roman" w:eastAsia="Times New Roman" w:hAnsi="Times New Roman" w:cs="Times New Roman"/>
          <w:sz w:val="24"/>
          <w:szCs w:val="24"/>
          <w:lang w:eastAsia="ru-RU"/>
        </w:rPr>
        <w:br/>
        <w:t>2013 год и плановый период 2014 и 2015</w:t>
      </w:r>
      <w:r w:rsidRPr="008043E2">
        <w:rPr>
          <w:rFonts w:ascii="Times New Roman" w:eastAsia="Times New Roman" w:hAnsi="Times New Roman" w:cs="Times New Roman"/>
          <w:sz w:val="24"/>
          <w:szCs w:val="24"/>
          <w:lang w:eastAsia="ru-RU"/>
        </w:rPr>
        <w:t xml:space="preserve"> годов» первоначально предусматривались к финансированию 18 долгосрочных целевых программ с объемом ассигновани</w:t>
      </w:r>
      <w:r>
        <w:rPr>
          <w:rFonts w:ascii="Times New Roman" w:eastAsia="Times New Roman" w:hAnsi="Times New Roman" w:cs="Times New Roman"/>
          <w:sz w:val="24"/>
          <w:szCs w:val="24"/>
          <w:lang w:eastAsia="ru-RU"/>
        </w:rPr>
        <w:t>й областного бюджета – 4707</w:t>
      </w:r>
      <w:r w:rsidR="002F247D">
        <w:rPr>
          <w:rFonts w:ascii="Times New Roman" w:eastAsia="Times New Roman" w:hAnsi="Times New Roman" w:cs="Times New Roman"/>
          <w:sz w:val="24"/>
          <w:szCs w:val="24"/>
          <w:lang w:eastAsia="ru-RU"/>
        </w:rPr>
        <w:t>,4 млн</w:t>
      </w:r>
      <w:r w:rsidRPr="008043E2">
        <w:rPr>
          <w:rFonts w:ascii="Times New Roman" w:eastAsia="Times New Roman" w:hAnsi="Times New Roman" w:cs="Times New Roman"/>
          <w:sz w:val="24"/>
          <w:szCs w:val="24"/>
          <w:lang w:eastAsia="ru-RU"/>
        </w:rPr>
        <w:t>. рублей.</w:t>
      </w:r>
    </w:p>
    <w:p w:rsidR="00401EF2" w:rsidRPr="008043E2" w:rsidRDefault="00401EF2" w:rsidP="00401EF2">
      <w:pPr>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В соответствии с Законом Амурской области от 2</w:t>
      </w:r>
      <w:r>
        <w:rPr>
          <w:rFonts w:ascii="Times New Roman" w:eastAsia="Times New Roman" w:hAnsi="Times New Roman" w:cs="Times New Roman"/>
          <w:sz w:val="24"/>
          <w:szCs w:val="24"/>
          <w:lang w:eastAsia="ru-RU"/>
        </w:rPr>
        <w:t>0.12.2013 № 306</w:t>
      </w:r>
      <w:r w:rsidRPr="008043E2">
        <w:rPr>
          <w:rFonts w:ascii="Times New Roman" w:eastAsia="Times New Roman" w:hAnsi="Times New Roman" w:cs="Times New Roman"/>
          <w:sz w:val="24"/>
          <w:szCs w:val="24"/>
          <w:lang w:eastAsia="ru-RU"/>
        </w:rPr>
        <w:t>-ОЗ «О внесении изменений в Закон Амурской облас</w:t>
      </w:r>
      <w:r>
        <w:rPr>
          <w:rFonts w:ascii="Times New Roman" w:eastAsia="Times New Roman" w:hAnsi="Times New Roman" w:cs="Times New Roman"/>
          <w:sz w:val="24"/>
          <w:szCs w:val="24"/>
          <w:lang w:eastAsia="ru-RU"/>
        </w:rPr>
        <w:t xml:space="preserve">ти «Об областном бюджете на 2013 год и плановый </w:t>
      </w:r>
      <w:r>
        <w:rPr>
          <w:rFonts w:ascii="Times New Roman" w:eastAsia="Times New Roman" w:hAnsi="Times New Roman" w:cs="Times New Roman"/>
          <w:sz w:val="24"/>
          <w:szCs w:val="24"/>
          <w:lang w:eastAsia="ru-RU"/>
        </w:rPr>
        <w:lastRenderedPageBreak/>
        <w:t>период 2014 и 2015</w:t>
      </w:r>
      <w:r w:rsidRPr="008043E2">
        <w:rPr>
          <w:rFonts w:ascii="Times New Roman" w:eastAsia="Times New Roman" w:hAnsi="Times New Roman" w:cs="Times New Roman"/>
          <w:sz w:val="24"/>
          <w:szCs w:val="24"/>
          <w:lang w:eastAsia="ru-RU"/>
        </w:rPr>
        <w:t xml:space="preserve"> годов» утверждены ассигнования областного бюджета на реализацию </w:t>
      </w:r>
      <w:r>
        <w:rPr>
          <w:rFonts w:ascii="Times New Roman" w:eastAsia="Times New Roman" w:hAnsi="Times New Roman" w:cs="Times New Roman"/>
          <w:sz w:val="24"/>
          <w:szCs w:val="24"/>
          <w:lang w:eastAsia="ru-RU"/>
        </w:rPr>
        <w:br/>
      </w:r>
      <w:r w:rsidRPr="008043E2">
        <w:rPr>
          <w:rFonts w:ascii="Times New Roman" w:eastAsia="Times New Roman" w:hAnsi="Times New Roman" w:cs="Times New Roman"/>
          <w:sz w:val="24"/>
          <w:szCs w:val="24"/>
          <w:lang w:eastAsia="ru-RU"/>
        </w:rPr>
        <w:t>19 д</w:t>
      </w:r>
      <w:r>
        <w:rPr>
          <w:rFonts w:ascii="Times New Roman" w:eastAsia="Times New Roman" w:hAnsi="Times New Roman" w:cs="Times New Roman"/>
          <w:sz w:val="24"/>
          <w:szCs w:val="24"/>
          <w:lang w:eastAsia="ru-RU"/>
        </w:rPr>
        <w:t>олгосрочных целевых программ, 13</w:t>
      </w:r>
      <w:r w:rsidRPr="008043E2">
        <w:rPr>
          <w:rFonts w:ascii="Times New Roman" w:eastAsia="Times New Roman" w:hAnsi="Times New Roman" w:cs="Times New Roman"/>
          <w:sz w:val="24"/>
          <w:szCs w:val="24"/>
          <w:lang w:eastAsia="ru-RU"/>
        </w:rPr>
        <w:t xml:space="preserve"> из которых предусматривали софинансирование за счет средств федерального бюджета. В рамках действия 9 долгосрочных целевых программ осуществлялась реализац</w:t>
      </w:r>
      <w:r>
        <w:rPr>
          <w:rFonts w:ascii="Times New Roman" w:eastAsia="Times New Roman" w:hAnsi="Times New Roman" w:cs="Times New Roman"/>
          <w:sz w:val="24"/>
          <w:szCs w:val="24"/>
          <w:lang w:eastAsia="ru-RU"/>
        </w:rPr>
        <w:t>ия 48</w:t>
      </w:r>
      <w:r w:rsidRPr="008043E2">
        <w:rPr>
          <w:rFonts w:ascii="Times New Roman" w:eastAsia="Times New Roman" w:hAnsi="Times New Roman" w:cs="Times New Roman"/>
          <w:sz w:val="24"/>
          <w:szCs w:val="24"/>
          <w:lang w:eastAsia="ru-RU"/>
        </w:rPr>
        <w:t xml:space="preserve"> </w:t>
      </w:r>
      <w:r w:rsidR="00794F97" w:rsidRPr="008043E2">
        <w:rPr>
          <w:rFonts w:ascii="Times New Roman" w:eastAsia="Times New Roman" w:hAnsi="Times New Roman" w:cs="Times New Roman"/>
          <w:sz w:val="24"/>
          <w:szCs w:val="24"/>
          <w:lang w:eastAsia="ru-RU"/>
        </w:rPr>
        <w:t>подпрограмм. Уточненный</w:t>
      </w:r>
      <w:r w:rsidRPr="008043E2">
        <w:rPr>
          <w:rFonts w:ascii="Times New Roman" w:eastAsia="Times New Roman" w:hAnsi="Times New Roman" w:cs="Times New Roman"/>
          <w:sz w:val="24"/>
          <w:szCs w:val="24"/>
          <w:lang w:eastAsia="ru-RU"/>
        </w:rPr>
        <w:t xml:space="preserve"> объем финансирования долгосрочных целевы</w:t>
      </w:r>
      <w:r>
        <w:rPr>
          <w:rFonts w:ascii="Times New Roman" w:eastAsia="Times New Roman" w:hAnsi="Times New Roman" w:cs="Times New Roman"/>
          <w:sz w:val="24"/>
          <w:szCs w:val="24"/>
          <w:lang w:eastAsia="ru-RU"/>
        </w:rPr>
        <w:t>х программ увеличен на 3852</w:t>
      </w:r>
      <w:r w:rsidR="002F24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2F247D">
        <w:rPr>
          <w:rFonts w:ascii="Times New Roman" w:eastAsia="Times New Roman" w:hAnsi="Times New Roman" w:cs="Times New Roman"/>
          <w:sz w:val="24"/>
          <w:szCs w:val="24"/>
          <w:lang w:eastAsia="ru-RU"/>
        </w:rPr>
        <w:t xml:space="preserve"> млн</w:t>
      </w:r>
      <w:r>
        <w:rPr>
          <w:rFonts w:ascii="Times New Roman" w:eastAsia="Times New Roman" w:hAnsi="Times New Roman" w:cs="Times New Roman"/>
          <w:sz w:val="24"/>
          <w:szCs w:val="24"/>
          <w:lang w:eastAsia="ru-RU"/>
        </w:rPr>
        <w:t>. рублей (в 1,8 раза) и составил 8559</w:t>
      </w:r>
      <w:r w:rsidR="002F24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2F247D">
        <w:rPr>
          <w:rFonts w:ascii="Times New Roman" w:eastAsia="Times New Roman" w:hAnsi="Times New Roman" w:cs="Times New Roman"/>
          <w:sz w:val="24"/>
          <w:szCs w:val="24"/>
          <w:lang w:eastAsia="ru-RU"/>
        </w:rPr>
        <w:t xml:space="preserve"> млн</w:t>
      </w:r>
      <w:r w:rsidRPr="008043E2">
        <w:rPr>
          <w:rFonts w:ascii="Times New Roman" w:eastAsia="Times New Roman" w:hAnsi="Times New Roman" w:cs="Times New Roman"/>
          <w:sz w:val="24"/>
          <w:szCs w:val="24"/>
          <w:lang w:eastAsia="ru-RU"/>
        </w:rPr>
        <w:t>. рублей.</w:t>
      </w:r>
    </w:p>
    <w:p w:rsidR="00401EF2" w:rsidRPr="00B30D05" w:rsidRDefault="00401EF2" w:rsidP="00401EF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2013</w:t>
      </w:r>
      <w:r w:rsidRPr="008043E2">
        <w:rPr>
          <w:rFonts w:ascii="Times New Roman" w:eastAsia="Times New Roman" w:hAnsi="Times New Roman" w:cs="Times New Roman"/>
          <w:sz w:val="24"/>
          <w:szCs w:val="24"/>
          <w:lang w:eastAsia="ru-RU"/>
        </w:rPr>
        <w:t xml:space="preserve"> году направлено средств областного бюджета на реализацию долгосрочных целевых пр</w:t>
      </w:r>
      <w:r>
        <w:rPr>
          <w:rFonts w:ascii="Times New Roman" w:eastAsia="Times New Roman" w:hAnsi="Times New Roman" w:cs="Times New Roman"/>
          <w:sz w:val="24"/>
          <w:szCs w:val="24"/>
          <w:lang w:eastAsia="ru-RU"/>
        </w:rPr>
        <w:t>ограмм в размере 8278</w:t>
      </w:r>
      <w:r w:rsidR="002F247D">
        <w:rPr>
          <w:rFonts w:ascii="Times New Roman" w:eastAsia="Times New Roman" w:hAnsi="Times New Roman" w:cs="Times New Roman"/>
          <w:sz w:val="24"/>
          <w:szCs w:val="24"/>
          <w:lang w:eastAsia="ru-RU"/>
        </w:rPr>
        <w:t>,8 млн</w:t>
      </w:r>
      <w:r>
        <w:rPr>
          <w:rFonts w:ascii="Times New Roman" w:eastAsia="Times New Roman" w:hAnsi="Times New Roman" w:cs="Times New Roman"/>
          <w:sz w:val="24"/>
          <w:szCs w:val="24"/>
          <w:lang w:eastAsia="ru-RU"/>
        </w:rPr>
        <w:t>. рублей, что составляет 96,7</w:t>
      </w:r>
      <w:r w:rsidRPr="008043E2">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Pr="008043E2">
        <w:rPr>
          <w:rFonts w:ascii="Times New Roman" w:eastAsia="Times New Roman" w:hAnsi="Times New Roman" w:cs="Times New Roman"/>
          <w:sz w:val="24"/>
          <w:szCs w:val="24"/>
          <w:lang w:eastAsia="ru-RU"/>
        </w:rPr>
        <w:t xml:space="preserve"> утвержденного плана. </w:t>
      </w:r>
    </w:p>
    <w:p w:rsidR="00401EF2" w:rsidRPr="008043E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Удельный вес расходов, направленных на реализацию долгосрочных целевых программ, в общем объеме расходов об</w:t>
      </w:r>
      <w:r>
        <w:rPr>
          <w:rFonts w:ascii="Times New Roman" w:eastAsia="Times New Roman" w:hAnsi="Times New Roman" w:cs="Times New Roman"/>
          <w:sz w:val="24"/>
          <w:szCs w:val="24"/>
          <w:lang w:eastAsia="ru-RU"/>
        </w:rPr>
        <w:t xml:space="preserve">ластного бюджета составляет 11,6 процента. </w:t>
      </w:r>
      <w:r>
        <w:rPr>
          <w:rFonts w:ascii="Times New Roman" w:eastAsia="Times New Roman" w:hAnsi="Times New Roman" w:cs="Times New Roman"/>
          <w:sz w:val="24"/>
          <w:szCs w:val="24"/>
          <w:lang w:eastAsia="ru-RU"/>
        </w:rPr>
        <w:br/>
        <w:t>В 2012</w:t>
      </w:r>
      <w:r w:rsidRPr="008043E2">
        <w:rPr>
          <w:rFonts w:ascii="Times New Roman" w:eastAsia="Times New Roman" w:hAnsi="Times New Roman" w:cs="Times New Roman"/>
          <w:sz w:val="24"/>
          <w:szCs w:val="24"/>
          <w:lang w:eastAsia="ru-RU"/>
        </w:rPr>
        <w:t xml:space="preserve"> году удельный вес расходов на финансирование мероприятий долгосрочных целевых программ в общем объеме</w:t>
      </w:r>
      <w:r>
        <w:rPr>
          <w:rFonts w:ascii="Times New Roman" w:eastAsia="Times New Roman" w:hAnsi="Times New Roman" w:cs="Times New Roman"/>
          <w:sz w:val="24"/>
          <w:szCs w:val="24"/>
          <w:lang w:eastAsia="ru-RU"/>
        </w:rPr>
        <w:t xml:space="preserve"> расходов бюджета составлял 12,2</w:t>
      </w:r>
      <w:r w:rsidRPr="008043E2">
        <w:rPr>
          <w:rFonts w:ascii="Times New Roman" w:eastAsia="Times New Roman" w:hAnsi="Times New Roman" w:cs="Times New Roman"/>
          <w:sz w:val="24"/>
          <w:szCs w:val="24"/>
          <w:lang w:eastAsia="ru-RU"/>
        </w:rPr>
        <w:t xml:space="preserve"> процента. Таким образом, по сравнению с 201</w:t>
      </w:r>
      <w:r>
        <w:rPr>
          <w:rFonts w:ascii="Times New Roman" w:eastAsia="Times New Roman" w:hAnsi="Times New Roman" w:cs="Times New Roman"/>
          <w:sz w:val="24"/>
          <w:szCs w:val="24"/>
          <w:lang w:eastAsia="ru-RU"/>
        </w:rPr>
        <w:t>2</w:t>
      </w:r>
      <w:r w:rsidRPr="008043E2">
        <w:rPr>
          <w:rFonts w:ascii="Times New Roman" w:eastAsia="Times New Roman" w:hAnsi="Times New Roman" w:cs="Times New Roman"/>
          <w:sz w:val="24"/>
          <w:szCs w:val="24"/>
          <w:lang w:eastAsia="ru-RU"/>
        </w:rPr>
        <w:t xml:space="preserve"> годом д</w:t>
      </w:r>
      <w:r>
        <w:rPr>
          <w:rFonts w:ascii="Times New Roman" w:eastAsia="Times New Roman" w:hAnsi="Times New Roman" w:cs="Times New Roman"/>
          <w:sz w:val="24"/>
          <w:szCs w:val="24"/>
          <w:lang w:eastAsia="ru-RU"/>
        </w:rPr>
        <w:t>анный показатель снизился на 0,6</w:t>
      </w:r>
      <w:r w:rsidRPr="008043E2">
        <w:rPr>
          <w:rFonts w:ascii="Times New Roman" w:eastAsia="Times New Roman" w:hAnsi="Times New Roman" w:cs="Times New Roman"/>
          <w:sz w:val="24"/>
          <w:szCs w:val="24"/>
          <w:lang w:eastAsia="ru-RU"/>
        </w:rPr>
        <w:t xml:space="preserve"> пункта</w:t>
      </w:r>
      <w:r w:rsidR="003B58FA">
        <w:rPr>
          <w:rFonts w:ascii="Times New Roman" w:eastAsia="Times New Roman" w:hAnsi="Times New Roman" w:cs="Times New Roman"/>
          <w:sz w:val="24"/>
          <w:szCs w:val="24"/>
          <w:lang w:eastAsia="ru-RU"/>
        </w:rPr>
        <w:t>.</w:t>
      </w:r>
    </w:p>
    <w:p w:rsidR="00401EF2" w:rsidRDefault="00401EF2" w:rsidP="00401EF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08F6">
        <w:rPr>
          <w:rFonts w:ascii="Times New Roman" w:eastAsia="Times New Roman" w:hAnsi="Times New Roman" w:cs="Times New Roman"/>
          <w:sz w:val="24"/>
          <w:szCs w:val="24"/>
          <w:lang w:eastAsia="ru-RU"/>
        </w:rPr>
        <w:t xml:space="preserve">Структура расходов областного бюджета </w:t>
      </w:r>
      <w:r>
        <w:rPr>
          <w:rFonts w:ascii="Times New Roman" w:eastAsia="Times New Roman" w:hAnsi="Times New Roman" w:cs="Times New Roman"/>
          <w:sz w:val="24"/>
          <w:szCs w:val="24"/>
          <w:lang w:eastAsia="ru-RU"/>
        </w:rPr>
        <w:t>2013</w:t>
      </w:r>
      <w:r w:rsidRPr="008043E2">
        <w:rPr>
          <w:rFonts w:ascii="Times New Roman" w:eastAsia="Times New Roman" w:hAnsi="Times New Roman" w:cs="Times New Roman"/>
          <w:sz w:val="24"/>
          <w:szCs w:val="24"/>
          <w:lang w:eastAsia="ru-RU"/>
        </w:rPr>
        <w:t xml:space="preserve"> года, направленных на реализацию долгосрочных целевых программ</w:t>
      </w:r>
      <w:r>
        <w:rPr>
          <w:rFonts w:ascii="Times New Roman" w:eastAsia="Times New Roman" w:hAnsi="Times New Roman" w:cs="Times New Roman"/>
          <w:sz w:val="24"/>
          <w:szCs w:val="24"/>
          <w:lang w:eastAsia="ru-RU"/>
        </w:rPr>
        <w:t xml:space="preserve">, представлена на рисунке </w:t>
      </w:r>
      <w:r w:rsidR="006A097D">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401EF2" w:rsidRPr="008043E2" w:rsidRDefault="00401EF2" w:rsidP="00C562E7">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43625" cy="6096000"/>
            <wp:effectExtent l="3810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097D" w:rsidRDefault="006A097D" w:rsidP="00401EF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401EF2" w:rsidRPr="008043E2" w:rsidRDefault="00401EF2" w:rsidP="00401EF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Рис.</w:t>
      </w:r>
      <w:r w:rsidR="006A097D">
        <w:rPr>
          <w:rFonts w:ascii="Times New Roman" w:eastAsia="Times New Roman" w:hAnsi="Times New Roman" w:cs="Times New Roman"/>
          <w:b/>
          <w:sz w:val="24"/>
          <w:szCs w:val="24"/>
          <w:lang w:eastAsia="ru-RU"/>
        </w:rPr>
        <w:t>19</w:t>
      </w:r>
      <w:r w:rsidRPr="008043E2">
        <w:rPr>
          <w:rFonts w:ascii="Times New Roman" w:eastAsia="Times New Roman" w:hAnsi="Times New Roman" w:cs="Times New Roman"/>
          <w:b/>
          <w:sz w:val="24"/>
          <w:szCs w:val="24"/>
          <w:lang w:eastAsia="ru-RU"/>
        </w:rPr>
        <w:t>– Структура расходов на долгосрочные целевые программы</w:t>
      </w:r>
      <w:r>
        <w:rPr>
          <w:rFonts w:ascii="Times New Roman" w:eastAsia="Times New Roman" w:hAnsi="Times New Roman" w:cs="Times New Roman"/>
          <w:b/>
          <w:sz w:val="24"/>
          <w:szCs w:val="24"/>
          <w:lang w:eastAsia="ru-RU"/>
        </w:rPr>
        <w:t xml:space="preserve"> в 2013 году</w:t>
      </w:r>
    </w:p>
    <w:p w:rsidR="00401EF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lastRenderedPageBreak/>
        <w:t>Наибольший удельн</w:t>
      </w:r>
      <w:r>
        <w:rPr>
          <w:rFonts w:ascii="Times New Roman" w:eastAsia="Times New Roman" w:hAnsi="Times New Roman" w:cs="Times New Roman"/>
          <w:sz w:val="24"/>
          <w:szCs w:val="24"/>
          <w:lang w:eastAsia="ru-RU"/>
        </w:rPr>
        <w:t>ый вес в структуре расходов 2013</w:t>
      </w:r>
      <w:r w:rsidRPr="008043E2">
        <w:rPr>
          <w:rFonts w:ascii="Times New Roman" w:eastAsia="Times New Roman" w:hAnsi="Times New Roman" w:cs="Times New Roman"/>
          <w:sz w:val="24"/>
          <w:szCs w:val="24"/>
          <w:lang w:eastAsia="ru-RU"/>
        </w:rPr>
        <w:t xml:space="preserve"> года, направленных на реализацию дол</w:t>
      </w:r>
      <w:r>
        <w:rPr>
          <w:rFonts w:ascii="Times New Roman" w:eastAsia="Times New Roman" w:hAnsi="Times New Roman" w:cs="Times New Roman"/>
          <w:sz w:val="24"/>
          <w:szCs w:val="24"/>
          <w:lang w:eastAsia="ru-RU"/>
        </w:rPr>
        <w:t>госрочных целевых программ (39,7</w:t>
      </w:r>
      <w:r w:rsidRPr="008043E2">
        <w:rPr>
          <w:rFonts w:ascii="Times New Roman" w:eastAsia="Times New Roman" w:hAnsi="Times New Roman" w:cs="Times New Roman"/>
          <w:sz w:val="24"/>
          <w:szCs w:val="24"/>
          <w:lang w:eastAsia="ru-RU"/>
        </w:rPr>
        <w:t xml:space="preserve"> процента) занимают расходы на финансирование программы «Обеспечение качественным жильем и услугами ЖКХ населения Амурской области на 2012-2015 годы», в рамках действия которо</w:t>
      </w:r>
      <w:r>
        <w:rPr>
          <w:rFonts w:ascii="Times New Roman" w:eastAsia="Times New Roman" w:hAnsi="Times New Roman" w:cs="Times New Roman"/>
          <w:sz w:val="24"/>
          <w:szCs w:val="24"/>
          <w:lang w:eastAsia="ru-RU"/>
        </w:rPr>
        <w:t>й осуществлялась реализация девяти</w:t>
      </w:r>
      <w:r w:rsidRPr="008043E2">
        <w:rPr>
          <w:rFonts w:ascii="Times New Roman" w:eastAsia="Times New Roman" w:hAnsi="Times New Roman" w:cs="Times New Roman"/>
          <w:sz w:val="24"/>
          <w:szCs w:val="24"/>
          <w:lang w:eastAsia="ru-RU"/>
        </w:rPr>
        <w:t xml:space="preserve"> подпрограмм</w:t>
      </w:r>
      <w:r>
        <w:rPr>
          <w:rFonts w:ascii="Times New Roman" w:eastAsia="Times New Roman" w:hAnsi="Times New Roman" w:cs="Times New Roman"/>
          <w:sz w:val="24"/>
          <w:szCs w:val="24"/>
          <w:lang w:eastAsia="ru-RU"/>
        </w:rPr>
        <w:t xml:space="preserve">. Наибольшую долю расходов </w:t>
      </w:r>
      <w:r>
        <w:rPr>
          <w:rFonts w:ascii="Times New Roman" w:eastAsia="Times New Roman" w:hAnsi="Times New Roman" w:cs="Times New Roman"/>
          <w:sz w:val="24"/>
          <w:szCs w:val="24"/>
          <w:lang w:eastAsia="ru-RU"/>
        </w:rPr>
        <w:br/>
        <w:t xml:space="preserve">(26,3 </w:t>
      </w:r>
      <w:r w:rsidRPr="008043E2">
        <w:rPr>
          <w:rFonts w:ascii="Times New Roman" w:eastAsia="Times New Roman" w:hAnsi="Times New Roman" w:cs="Times New Roman"/>
          <w:sz w:val="24"/>
          <w:szCs w:val="24"/>
          <w:lang w:eastAsia="ru-RU"/>
        </w:rPr>
        <w:t>процента) занимают расходы на финансирование подпрограммы «Повышение качества и надежности жилищно-коммунального обслуживания населения Амурской области»</w:t>
      </w:r>
      <w:r>
        <w:rPr>
          <w:rFonts w:ascii="Times New Roman" w:eastAsia="Times New Roman" w:hAnsi="Times New Roman" w:cs="Times New Roman"/>
          <w:sz w:val="24"/>
          <w:szCs w:val="24"/>
          <w:lang w:eastAsia="ru-RU"/>
        </w:rPr>
        <w:t>.</w:t>
      </w:r>
    </w:p>
    <w:p w:rsidR="00401EF2" w:rsidRPr="008043E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 xml:space="preserve">Удельный вес расходов по долгосрочной целевой программе «Развитие сельского хозяйства и регулирование рынков сельскохозяйственной продукции, сырья и продовольствия Амурской области </w:t>
      </w:r>
      <w:r>
        <w:rPr>
          <w:rFonts w:ascii="Times New Roman" w:eastAsia="Times New Roman" w:hAnsi="Times New Roman" w:cs="Times New Roman"/>
          <w:sz w:val="24"/>
          <w:szCs w:val="24"/>
          <w:lang w:eastAsia="ru-RU"/>
        </w:rPr>
        <w:t>на 2013-2020 годы» составил 26,2</w:t>
      </w:r>
      <w:r w:rsidRPr="008043E2">
        <w:rPr>
          <w:rFonts w:ascii="Times New Roman" w:eastAsia="Times New Roman" w:hAnsi="Times New Roman" w:cs="Times New Roman"/>
          <w:sz w:val="24"/>
          <w:szCs w:val="24"/>
          <w:lang w:eastAsia="ru-RU"/>
        </w:rPr>
        <w:t xml:space="preserve"> процента. В составе указанной программы осуществлялась реализация </w:t>
      </w:r>
      <w:r>
        <w:rPr>
          <w:rFonts w:ascii="Times New Roman" w:eastAsia="Times New Roman" w:hAnsi="Times New Roman" w:cs="Times New Roman"/>
          <w:sz w:val="24"/>
          <w:szCs w:val="24"/>
          <w:lang w:eastAsia="ru-RU"/>
        </w:rPr>
        <w:t>восьми подпрограмм.</w:t>
      </w:r>
    </w:p>
    <w:p w:rsidR="00401EF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 расходов 2013</w:t>
      </w:r>
      <w:r w:rsidRPr="008043E2">
        <w:rPr>
          <w:rFonts w:ascii="Times New Roman" w:eastAsia="Times New Roman" w:hAnsi="Times New Roman" w:cs="Times New Roman"/>
          <w:sz w:val="24"/>
          <w:szCs w:val="24"/>
          <w:lang w:eastAsia="ru-RU"/>
        </w:rPr>
        <w:t xml:space="preserve"> года на реализацию долгосрочной целевой программы «Развитие сети автомобильных дорог общего пользования регионального или межмуниципального значения Амурской области на 2010-2015 годы» составил </w:t>
      </w:r>
      <w:r>
        <w:rPr>
          <w:rFonts w:ascii="Times New Roman" w:eastAsia="Times New Roman" w:hAnsi="Times New Roman" w:cs="Times New Roman"/>
          <w:sz w:val="24"/>
          <w:szCs w:val="24"/>
          <w:lang w:eastAsia="ru-RU"/>
        </w:rPr>
        <w:br/>
        <w:t>18,4 процент</w:t>
      </w:r>
      <w:r w:rsidR="00D55811">
        <w:rPr>
          <w:rFonts w:ascii="Times New Roman" w:eastAsia="Times New Roman" w:hAnsi="Times New Roman" w:cs="Times New Roman"/>
          <w:sz w:val="24"/>
          <w:szCs w:val="24"/>
          <w:lang w:eastAsia="ru-RU"/>
        </w:rPr>
        <w:t>а.</w:t>
      </w:r>
    </w:p>
    <w:p w:rsidR="006A097D"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Расходы на финансирование долгосрочной целевой программы «Развитие здравоохранения Амурской области на 2012-2014 годы» в структуре расходов областного бюджета, направленных на финансирование долгосрочных целевых пр</w:t>
      </w:r>
      <w:r>
        <w:rPr>
          <w:rFonts w:ascii="Times New Roman" w:eastAsia="Times New Roman" w:hAnsi="Times New Roman" w:cs="Times New Roman"/>
          <w:sz w:val="24"/>
          <w:szCs w:val="24"/>
          <w:lang w:eastAsia="ru-RU"/>
        </w:rPr>
        <w:t xml:space="preserve">ограмм в 2013 году, занимают 3,6 процента против </w:t>
      </w:r>
      <w:r w:rsidR="00D55811">
        <w:rPr>
          <w:rFonts w:ascii="Times New Roman" w:eastAsia="Times New Roman" w:hAnsi="Times New Roman" w:cs="Times New Roman"/>
          <w:sz w:val="24"/>
          <w:szCs w:val="24"/>
          <w:lang w:eastAsia="ru-RU"/>
        </w:rPr>
        <w:t>7,7 процента</w:t>
      </w:r>
      <w:r>
        <w:rPr>
          <w:rFonts w:ascii="Times New Roman" w:eastAsia="Times New Roman" w:hAnsi="Times New Roman" w:cs="Times New Roman"/>
          <w:sz w:val="24"/>
          <w:szCs w:val="24"/>
          <w:lang w:eastAsia="ru-RU"/>
        </w:rPr>
        <w:t xml:space="preserve"> в 2012 году</w:t>
      </w:r>
      <w:r w:rsidRPr="008043E2">
        <w:rPr>
          <w:rFonts w:ascii="Times New Roman" w:eastAsia="Times New Roman" w:hAnsi="Times New Roman" w:cs="Times New Roman"/>
          <w:sz w:val="24"/>
          <w:szCs w:val="24"/>
          <w:lang w:eastAsia="ru-RU"/>
        </w:rPr>
        <w:t>. Объем бюджетных ассигнований, направленных на</w:t>
      </w:r>
      <w:r>
        <w:rPr>
          <w:rFonts w:ascii="Times New Roman" w:eastAsia="Times New Roman" w:hAnsi="Times New Roman" w:cs="Times New Roman"/>
          <w:sz w:val="24"/>
          <w:szCs w:val="24"/>
          <w:lang w:eastAsia="ru-RU"/>
        </w:rPr>
        <w:t xml:space="preserve"> финансирование программы </w:t>
      </w:r>
      <w:r w:rsidRPr="008043E2">
        <w:rPr>
          <w:rFonts w:ascii="Times New Roman" w:eastAsia="Times New Roman" w:hAnsi="Times New Roman" w:cs="Times New Roman"/>
          <w:sz w:val="24"/>
          <w:szCs w:val="24"/>
          <w:lang w:eastAsia="ru-RU"/>
        </w:rPr>
        <w:t>по сравнению с 201</w:t>
      </w:r>
      <w:r>
        <w:rPr>
          <w:rFonts w:ascii="Times New Roman" w:eastAsia="Times New Roman" w:hAnsi="Times New Roman" w:cs="Times New Roman"/>
          <w:sz w:val="24"/>
          <w:szCs w:val="24"/>
          <w:lang w:eastAsia="ru-RU"/>
        </w:rPr>
        <w:t>2</w:t>
      </w:r>
      <w:r w:rsidRPr="008043E2">
        <w:rPr>
          <w:rFonts w:ascii="Times New Roman" w:eastAsia="Times New Roman" w:hAnsi="Times New Roman" w:cs="Times New Roman"/>
          <w:sz w:val="24"/>
          <w:szCs w:val="24"/>
          <w:lang w:eastAsia="ru-RU"/>
        </w:rPr>
        <w:t xml:space="preserve"> годом, </w:t>
      </w:r>
      <w:r>
        <w:rPr>
          <w:rFonts w:ascii="Times New Roman" w:eastAsia="Times New Roman" w:hAnsi="Times New Roman" w:cs="Times New Roman"/>
          <w:sz w:val="24"/>
          <w:szCs w:val="24"/>
          <w:lang w:eastAsia="ru-RU"/>
        </w:rPr>
        <w:t>сократился на 3</w:t>
      </w:r>
      <w:r w:rsidRPr="008043E2">
        <w:rPr>
          <w:rFonts w:ascii="Times New Roman" w:eastAsia="Times New Roman" w:hAnsi="Times New Roman" w:cs="Times New Roman"/>
          <w:sz w:val="24"/>
          <w:szCs w:val="24"/>
          <w:lang w:eastAsia="ru-RU"/>
        </w:rPr>
        <w:t xml:space="preserve">1,9 процента. В составе данной долгосрочной программы </w:t>
      </w:r>
      <w:r>
        <w:rPr>
          <w:rFonts w:ascii="Times New Roman" w:eastAsia="Times New Roman" w:hAnsi="Times New Roman" w:cs="Times New Roman"/>
          <w:sz w:val="24"/>
          <w:szCs w:val="24"/>
          <w:lang w:eastAsia="ru-RU"/>
        </w:rPr>
        <w:t xml:space="preserve">в 2013 году </w:t>
      </w:r>
      <w:r w:rsidRPr="008043E2">
        <w:rPr>
          <w:rFonts w:ascii="Times New Roman" w:eastAsia="Times New Roman" w:hAnsi="Times New Roman" w:cs="Times New Roman"/>
          <w:sz w:val="24"/>
          <w:szCs w:val="24"/>
          <w:lang w:eastAsia="ru-RU"/>
        </w:rPr>
        <w:t xml:space="preserve">осуществлялось </w:t>
      </w:r>
      <w:r w:rsidRPr="00B30D05">
        <w:rPr>
          <w:rFonts w:ascii="Times New Roman" w:eastAsia="Times New Roman" w:hAnsi="Times New Roman" w:cs="Times New Roman"/>
          <w:sz w:val="24"/>
          <w:szCs w:val="24"/>
          <w:lang w:eastAsia="ru-RU"/>
        </w:rPr>
        <w:t xml:space="preserve">финансирование девяти подпрограмм, в 2012 году - одиннадцати. </w:t>
      </w:r>
    </w:p>
    <w:p w:rsidR="00401EF2" w:rsidRPr="00B30D05"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0D05">
        <w:rPr>
          <w:rFonts w:ascii="Times New Roman" w:eastAsia="Times New Roman" w:hAnsi="Times New Roman" w:cs="Times New Roman"/>
          <w:sz w:val="24"/>
          <w:szCs w:val="24"/>
          <w:lang w:eastAsia="ru-RU"/>
        </w:rPr>
        <w:t>Удельный вес расходов программы «Развитие образования Амурской области на 2012-2015 годы» составил 2,1 процента в общем объеме расходов, направленных на реализацию долгосрочных целевых программ, против 7,7 процента в 2012 году. Объем финансирования программы по сравнению с расходами предыдущего года долгосрочной программы сократился в 2,8 раза.</w:t>
      </w:r>
    </w:p>
    <w:p w:rsidR="00401EF2" w:rsidRPr="00B30D05" w:rsidRDefault="00401EF2" w:rsidP="00401EF2">
      <w:pPr>
        <w:pStyle w:val="23"/>
        <w:tabs>
          <w:tab w:val="left" w:pos="540"/>
        </w:tabs>
        <w:spacing w:after="0" w:line="240" w:lineRule="auto"/>
        <w:ind w:left="0" w:firstLine="709"/>
        <w:jc w:val="both"/>
        <w:rPr>
          <w:sz w:val="24"/>
          <w:szCs w:val="24"/>
        </w:rPr>
      </w:pPr>
      <w:r w:rsidRPr="00B30D05">
        <w:rPr>
          <w:sz w:val="24"/>
          <w:szCs w:val="24"/>
        </w:rPr>
        <w:t>В Бюджетном послании Президента Российской Федерации на 2013-2015 годы указывалось на необходимость повышения качества предоставления населению государственных и муниципальных услуг в первую очередь в таких значимых для общества сферах, как здравоохранение и образование. Сокращение расходов областного бюджета на реализацию долгосрочных целевых программ по разделам «Здравоохранение» и «Образование» как в абсолютной величине, так и структуре программных расходов бюджета, не соответствует основным н</w:t>
      </w:r>
      <w:r w:rsidR="00216250">
        <w:rPr>
          <w:sz w:val="24"/>
          <w:szCs w:val="24"/>
        </w:rPr>
        <w:t>аправлениям бюджетной политики.</w:t>
      </w:r>
    </w:p>
    <w:p w:rsidR="00401EF2" w:rsidRPr="008043E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0D05">
        <w:rPr>
          <w:rFonts w:ascii="Times New Roman" w:eastAsia="Times New Roman" w:hAnsi="Times New Roman" w:cs="Times New Roman"/>
          <w:sz w:val="24"/>
          <w:szCs w:val="24"/>
          <w:lang w:eastAsia="ru-RU"/>
        </w:rPr>
        <w:t>Удельный вес расходов долгосрочной</w:t>
      </w:r>
      <w:r w:rsidRPr="008043E2">
        <w:rPr>
          <w:rFonts w:ascii="Times New Roman" w:eastAsia="Times New Roman" w:hAnsi="Times New Roman" w:cs="Times New Roman"/>
          <w:sz w:val="24"/>
          <w:szCs w:val="24"/>
          <w:lang w:eastAsia="ru-RU"/>
        </w:rPr>
        <w:t xml:space="preserve"> целевой программы «</w:t>
      </w:r>
      <w:r>
        <w:rPr>
          <w:rFonts w:ascii="Times New Roman" w:eastAsia="Times New Roman" w:hAnsi="Times New Roman" w:cs="Times New Roman"/>
          <w:sz w:val="24"/>
          <w:szCs w:val="24"/>
          <w:lang w:eastAsia="ru-RU"/>
        </w:rPr>
        <w:t>Охрана окружающей среды в Амурской области на период до 2016 года</w:t>
      </w:r>
      <w:r w:rsidRPr="008043E2">
        <w:rPr>
          <w:rFonts w:ascii="Times New Roman" w:eastAsia="Times New Roman" w:hAnsi="Times New Roman" w:cs="Times New Roman"/>
          <w:sz w:val="24"/>
          <w:szCs w:val="24"/>
          <w:lang w:eastAsia="ru-RU"/>
        </w:rPr>
        <w:t>», в ра</w:t>
      </w:r>
      <w:r>
        <w:rPr>
          <w:rFonts w:ascii="Times New Roman" w:eastAsia="Times New Roman" w:hAnsi="Times New Roman" w:cs="Times New Roman"/>
          <w:sz w:val="24"/>
          <w:szCs w:val="24"/>
          <w:lang w:eastAsia="ru-RU"/>
        </w:rPr>
        <w:t xml:space="preserve">мках которой финансировались </w:t>
      </w:r>
      <w:r>
        <w:rPr>
          <w:rFonts w:ascii="Times New Roman" w:eastAsia="Times New Roman" w:hAnsi="Times New Roman" w:cs="Times New Roman"/>
          <w:sz w:val="24"/>
          <w:szCs w:val="24"/>
          <w:lang w:eastAsia="ru-RU"/>
        </w:rPr>
        <w:br/>
        <w:t>2 подпрограммы, составил 3,1</w:t>
      </w:r>
      <w:r w:rsidRPr="008043E2">
        <w:rPr>
          <w:rFonts w:ascii="Times New Roman" w:eastAsia="Times New Roman" w:hAnsi="Times New Roman" w:cs="Times New Roman"/>
          <w:sz w:val="24"/>
          <w:szCs w:val="24"/>
          <w:lang w:eastAsia="ru-RU"/>
        </w:rPr>
        <w:t xml:space="preserve"> процента в общем объеме расходов на реализацию долгосрочных целевых программ.</w:t>
      </w:r>
      <w:r>
        <w:rPr>
          <w:rFonts w:ascii="Times New Roman" w:eastAsia="Times New Roman" w:hAnsi="Times New Roman" w:cs="Times New Roman"/>
          <w:sz w:val="24"/>
          <w:szCs w:val="24"/>
          <w:lang w:eastAsia="ru-RU"/>
        </w:rPr>
        <w:t xml:space="preserve"> П</w:t>
      </w:r>
      <w:r w:rsidRPr="008043E2">
        <w:rPr>
          <w:rFonts w:ascii="Times New Roman" w:eastAsia="Times New Roman" w:hAnsi="Times New Roman" w:cs="Times New Roman"/>
          <w:sz w:val="24"/>
          <w:szCs w:val="24"/>
          <w:lang w:eastAsia="ru-RU"/>
        </w:rPr>
        <w:t>о сравнению с расходами предыдущего года</w:t>
      </w:r>
      <w:r>
        <w:rPr>
          <w:rFonts w:ascii="Times New Roman" w:eastAsia="Times New Roman" w:hAnsi="Times New Roman" w:cs="Times New Roman"/>
          <w:sz w:val="24"/>
          <w:szCs w:val="24"/>
          <w:lang w:eastAsia="ru-RU"/>
        </w:rPr>
        <w:t xml:space="preserve"> финансирование мероприятий данной программы увеличилось в 1,8 раза.</w:t>
      </w:r>
    </w:p>
    <w:p w:rsidR="00401EF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 xml:space="preserve">В полном объеме к уточненному плану исполнены расходы на </w:t>
      </w:r>
      <w:r>
        <w:rPr>
          <w:rFonts w:ascii="Times New Roman" w:eastAsia="Times New Roman" w:hAnsi="Times New Roman" w:cs="Times New Roman"/>
          <w:sz w:val="24"/>
          <w:szCs w:val="24"/>
          <w:lang w:eastAsia="ru-RU"/>
        </w:rPr>
        <w:t>финансирование мероприятий семи</w:t>
      </w:r>
      <w:r w:rsidRPr="008043E2">
        <w:rPr>
          <w:rFonts w:ascii="Times New Roman" w:eastAsia="Times New Roman" w:hAnsi="Times New Roman" w:cs="Times New Roman"/>
          <w:sz w:val="24"/>
          <w:szCs w:val="24"/>
          <w:lang w:eastAsia="ru-RU"/>
        </w:rPr>
        <w:t xml:space="preserve"> долгосрочных целевых программ:</w:t>
      </w:r>
    </w:p>
    <w:p w:rsidR="00401EF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злоупотреблению наркотическими средствами и их незаконному обороту на 2010-2014 годы»;</w:t>
      </w:r>
    </w:p>
    <w:p w:rsidR="00401EF2" w:rsidRPr="008043E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-«Оказание содействия добровольному переселению в Амурскую область соотечественников, проживающих за рубежом, на 2009-2012 годы»;</w:t>
      </w:r>
    </w:p>
    <w:p w:rsidR="00401EF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 xml:space="preserve">-«Профилактика терроризма и экстремизма в Амурской области на </w:t>
      </w:r>
      <w:r>
        <w:rPr>
          <w:rFonts w:ascii="Times New Roman" w:eastAsia="Times New Roman" w:hAnsi="Times New Roman" w:cs="Times New Roman"/>
          <w:sz w:val="24"/>
          <w:szCs w:val="24"/>
          <w:lang w:eastAsia="ru-RU"/>
        </w:rPr>
        <w:br/>
      </w:r>
      <w:r w:rsidRPr="008043E2">
        <w:rPr>
          <w:rFonts w:ascii="Times New Roman" w:eastAsia="Times New Roman" w:hAnsi="Times New Roman" w:cs="Times New Roman"/>
          <w:sz w:val="24"/>
          <w:szCs w:val="24"/>
          <w:lang w:eastAsia="ru-RU"/>
        </w:rPr>
        <w:t>2011-2013 годы»;</w:t>
      </w:r>
    </w:p>
    <w:p w:rsidR="00401EF2" w:rsidRPr="008043E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транспортной системы Амурской области на 2012-2020 годы»;</w:t>
      </w:r>
    </w:p>
    <w:p w:rsidR="00401EF2" w:rsidRPr="008043E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-«Развитие образования Амурской области на 2012-2015 годы»;</w:t>
      </w:r>
    </w:p>
    <w:p w:rsidR="00401EF2" w:rsidRPr="008043E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-«Пожарная безопасность на 2012-2014 годы»;</w:t>
      </w:r>
    </w:p>
    <w:p w:rsidR="00401EF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-«Охрана лесо</w:t>
      </w:r>
      <w:r>
        <w:rPr>
          <w:rFonts w:ascii="Times New Roman" w:eastAsia="Times New Roman" w:hAnsi="Times New Roman" w:cs="Times New Roman"/>
          <w:sz w:val="24"/>
          <w:szCs w:val="24"/>
          <w:lang w:eastAsia="ru-RU"/>
        </w:rPr>
        <w:t>в от пожаров на 2012-2015 годы».</w:t>
      </w:r>
    </w:p>
    <w:p w:rsidR="00401EF2" w:rsidRPr="00062C6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Также стопроцентное исполне</w:t>
      </w:r>
      <w:r>
        <w:rPr>
          <w:rFonts w:ascii="Times New Roman" w:eastAsia="Times New Roman" w:hAnsi="Times New Roman" w:cs="Times New Roman"/>
          <w:sz w:val="24"/>
          <w:szCs w:val="24"/>
          <w:lang w:eastAsia="ru-RU"/>
        </w:rPr>
        <w:t>ние сложилось по мероприятиям 17</w:t>
      </w:r>
      <w:r w:rsidR="002162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подпрограмм, входящим в состав 9</w:t>
      </w:r>
      <w:r w:rsidRPr="008043E2">
        <w:rPr>
          <w:rFonts w:ascii="Times New Roman" w:eastAsia="Times New Roman" w:hAnsi="Times New Roman" w:cs="Times New Roman"/>
          <w:sz w:val="24"/>
          <w:szCs w:val="24"/>
          <w:lang w:eastAsia="ru-RU"/>
        </w:rPr>
        <w:t xml:space="preserve"> долгосрочных целевых программ.</w:t>
      </w:r>
    </w:p>
    <w:p w:rsidR="00401EF2" w:rsidRPr="008043E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lastRenderedPageBreak/>
        <w:t>Объем неисполненных лимитов бюджетных обязательств в части средств областного бюджета при реализации долгосрочных целевых программ составляет</w:t>
      </w:r>
      <w:r>
        <w:rPr>
          <w:rFonts w:ascii="Times New Roman" w:eastAsia="Times New Roman" w:hAnsi="Times New Roman" w:cs="Times New Roman"/>
          <w:sz w:val="24"/>
          <w:szCs w:val="24"/>
          <w:lang w:eastAsia="ru-RU"/>
        </w:rPr>
        <w:br/>
        <w:t>281</w:t>
      </w:r>
      <w:r w:rsidR="0011603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11603B">
        <w:rPr>
          <w:rFonts w:ascii="Times New Roman" w:eastAsia="Times New Roman" w:hAnsi="Times New Roman" w:cs="Times New Roman"/>
          <w:sz w:val="24"/>
          <w:szCs w:val="24"/>
          <w:lang w:eastAsia="ru-RU"/>
        </w:rPr>
        <w:t>млн</w:t>
      </w:r>
      <w:r>
        <w:rPr>
          <w:rFonts w:ascii="Times New Roman" w:eastAsia="Times New Roman" w:hAnsi="Times New Roman" w:cs="Times New Roman"/>
          <w:sz w:val="24"/>
          <w:szCs w:val="24"/>
          <w:lang w:eastAsia="ru-RU"/>
        </w:rPr>
        <w:t>. рублей, или 3,4</w:t>
      </w:r>
      <w:r w:rsidRPr="008043E2">
        <w:rPr>
          <w:rFonts w:ascii="Times New Roman" w:eastAsia="Times New Roman" w:hAnsi="Times New Roman" w:cs="Times New Roman"/>
          <w:sz w:val="24"/>
          <w:szCs w:val="24"/>
          <w:lang w:eastAsia="ru-RU"/>
        </w:rPr>
        <w:t xml:space="preserve"> процента </w:t>
      </w:r>
      <w:r>
        <w:rPr>
          <w:rFonts w:ascii="Times New Roman" w:eastAsia="Times New Roman" w:hAnsi="Times New Roman" w:cs="Times New Roman"/>
          <w:sz w:val="24"/>
          <w:szCs w:val="24"/>
          <w:lang w:eastAsia="ru-RU"/>
        </w:rPr>
        <w:t>к</w:t>
      </w:r>
      <w:r w:rsidRPr="008043E2">
        <w:rPr>
          <w:rFonts w:ascii="Times New Roman" w:eastAsia="Times New Roman" w:hAnsi="Times New Roman" w:cs="Times New Roman"/>
          <w:sz w:val="24"/>
          <w:szCs w:val="24"/>
          <w:lang w:eastAsia="ru-RU"/>
        </w:rPr>
        <w:t xml:space="preserve">ассового исполнения расходов по программам. </w:t>
      </w:r>
      <w:r>
        <w:rPr>
          <w:rFonts w:ascii="Times New Roman" w:eastAsia="Times New Roman" w:hAnsi="Times New Roman" w:cs="Times New Roman"/>
          <w:sz w:val="24"/>
          <w:szCs w:val="24"/>
          <w:lang w:eastAsia="ru-RU"/>
        </w:rPr>
        <w:br/>
        <w:t>В 2012</w:t>
      </w:r>
      <w:r w:rsidRPr="008043E2">
        <w:rPr>
          <w:rFonts w:ascii="Times New Roman" w:eastAsia="Times New Roman" w:hAnsi="Times New Roman" w:cs="Times New Roman"/>
          <w:sz w:val="24"/>
          <w:szCs w:val="24"/>
          <w:lang w:eastAsia="ru-RU"/>
        </w:rPr>
        <w:t xml:space="preserve"> году объем неисполненных лимитов бюджетных </w:t>
      </w:r>
      <w:r>
        <w:rPr>
          <w:rFonts w:ascii="Times New Roman" w:eastAsia="Times New Roman" w:hAnsi="Times New Roman" w:cs="Times New Roman"/>
          <w:sz w:val="24"/>
          <w:szCs w:val="24"/>
          <w:lang w:eastAsia="ru-RU"/>
        </w:rPr>
        <w:t xml:space="preserve">обязательств составлял </w:t>
      </w:r>
      <w:r>
        <w:rPr>
          <w:rFonts w:ascii="Times New Roman" w:eastAsia="Times New Roman" w:hAnsi="Times New Roman" w:cs="Times New Roman"/>
          <w:sz w:val="24"/>
          <w:szCs w:val="24"/>
          <w:lang w:eastAsia="ru-RU"/>
        </w:rPr>
        <w:br/>
        <w:t>93</w:t>
      </w:r>
      <w:r w:rsidR="001160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0011603B">
        <w:rPr>
          <w:rFonts w:ascii="Times New Roman" w:eastAsia="Times New Roman" w:hAnsi="Times New Roman" w:cs="Times New Roman"/>
          <w:sz w:val="24"/>
          <w:szCs w:val="24"/>
          <w:lang w:eastAsia="ru-RU"/>
        </w:rPr>
        <w:t xml:space="preserve"> млн</w:t>
      </w:r>
      <w:r>
        <w:rPr>
          <w:rFonts w:ascii="Times New Roman" w:eastAsia="Times New Roman" w:hAnsi="Times New Roman" w:cs="Times New Roman"/>
          <w:sz w:val="24"/>
          <w:szCs w:val="24"/>
          <w:lang w:eastAsia="ru-RU"/>
        </w:rPr>
        <w:t>. рублей, или 1,5</w:t>
      </w:r>
      <w:r w:rsidRPr="008043E2">
        <w:rPr>
          <w:rFonts w:ascii="Times New Roman" w:eastAsia="Times New Roman" w:hAnsi="Times New Roman" w:cs="Times New Roman"/>
          <w:sz w:val="24"/>
          <w:szCs w:val="24"/>
          <w:lang w:eastAsia="ru-RU"/>
        </w:rPr>
        <w:t xml:space="preserve"> процента кассового исполнения расходов по программ</w:t>
      </w:r>
      <w:r>
        <w:rPr>
          <w:rFonts w:ascii="Times New Roman" w:eastAsia="Times New Roman" w:hAnsi="Times New Roman" w:cs="Times New Roman"/>
          <w:sz w:val="24"/>
          <w:szCs w:val="24"/>
          <w:lang w:eastAsia="ru-RU"/>
        </w:rPr>
        <w:t>ам.</w:t>
      </w:r>
    </w:p>
    <w:p w:rsidR="00401EF2" w:rsidRPr="008043E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 xml:space="preserve">Выше среднесложившегося уровня финансирования исполнены расходы по </w:t>
      </w:r>
      <w:r>
        <w:rPr>
          <w:rFonts w:ascii="Times New Roman" w:eastAsia="Times New Roman" w:hAnsi="Times New Roman" w:cs="Times New Roman"/>
          <w:sz w:val="24"/>
          <w:szCs w:val="24"/>
          <w:lang w:eastAsia="ru-RU"/>
        </w:rPr>
        <w:br/>
        <w:t>12 подпрограммам и 3</w:t>
      </w:r>
      <w:r w:rsidRPr="008043E2">
        <w:rPr>
          <w:rFonts w:ascii="Times New Roman" w:eastAsia="Times New Roman" w:hAnsi="Times New Roman" w:cs="Times New Roman"/>
          <w:sz w:val="24"/>
          <w:szCs w:val="24"/>
          <w:lang w:eastAsia="ru-RU"/>
        </w:rPr>
        <w:t xml:space="preserve"> самостоятельным д</w:t>
      </w:r>
      <w:r>
        <w:rPr>
          <w:rFonts w:ascii="Times New Roman" w:eastAsia="Times New Roman" w:hAnsi="Times New Roman" w:cs="Times New Roman"/>
          <w:sz w:val="24"/>
          <w:szCs w:val="24"/>
          <w:lang w:eastAsia="ru-RU"/>
        </w:rPr>
        <w:t xml:space="preserve">олгосрочным целевым программам: </w:t>
      </w:r>
      <w:r w:rsidRPr="008043E2">
        <w:rPr>
          <w:rFonts w:ascii="Times New Roman" w:eastAsia="Times New Roman" w:hAnsi="Times New Roman" w:cs="Times New Roman"/>
          <w:sz w:val="24"/>
          <w:szCs w:val="24"/>
          <w:lang w:eastAsia="ru-RU"/>
        </w:rPr>
        <w:t>«Развитие сети автомобильных дорог общего пользования регионального или межмуниципального значения Амурской области на 2010-2015 годы»</w:t>
      </w:r>
      <w:r>
        <w:rPr>
          <w:rFonts w:ascii="Times New Roman" w:eastAsia="Times New Roman" w:hAnsi="Times New Roman" w:cs="Times New Roman"/>
          <w:sz w:val="24"/>
          <w:szCs w:val="24"/>
          <w:lang w:eastAsia="ru-RU"/>
        </w:rPr>
        <w:t>,</w:t>
      </w:r>
      <w:r w:rsidR="006715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w:t>
      </w:r>
      <w:r w:rsidR="00B30D05">
        <w:rPr>
          <w:rFonts w:ascii="Times New Roman" w:eastAsia="Times New Roman" w:hAnsi="Times New Roman" w:cs="Times New Roman"/>
          <w:sz w:val="24"/>
          <w:szCs w:val="24"/>
          <w:lang w:eastAsia="ru-RU"/>
        </w:rPr>
        <w:t>ономического и инновационного ра</w:t>
      </w:r>
      <w:r>
        <w:rPr>
          <w:rFonts w:ascii="Times New Roman" w:eastAsia="Times New Roman" w:hAnsi="Times New Roman" w:cs="Times New Roman"/>
          <w:sz w:val="24"/>
          <w:szCs w:val="24"/>
          <w:lang w:eastAsia="ru-RU"/>
        </w:rPr>
        <w:t>звития Амурской области на 2013-2014 годы», «Профилактика правонарушений в Амурской области»</w:t>
      </w:r>
      <w:r w:rsidR="00B30D05">
        <w:rPr>
          <w:rFonts w:ascii="Times New Roman" w:eastAsia="Times New Roman" w:hAnsi="Times New Roman" w:cs="Times New Roman"/>
          <w:sz w:val="24"/>
          <w:szCs w:val="24"/>
          <w:lang w:eastAsia="ru-RU"/>
        </w:rPr>
        <w:t xml:space="preserve">, </w:t>
      </w:r>
      <w:r w:rsidRPr="008043E2">
        <w:rPr>
          <w:rFonts w:ascii="Times New Roman" w:eastAsia="Times New Roman" w:hAnsi="Times New Roman" w:cs="Times New Roman"/>
          <w:sz w:val="24"/>
          <w:szCs w:val="24"/>
          <w:lang w:eastAsia="ru-RU"/>
        </w:rPr>
        <w:t>исполне</w:t>
      </w:r>
      <w:r>
        <w:rPr>
          <w:rFonts w:ascii="Times New Roman" w:eastAsia="Times New Roman" w:hAnsi="Times New Roman" w:cs="Times New Roman"/>
          <w:sz w:val="24"/>
          <w:szCs w:val="24"/>
          <w:lang w:eastAsia="ru-RU"/>
        </w:rPr>
        <w:t>ние находится в пределах от 98,8</w:t>
      </w:r>
      <w:r w:rsidRPr="008043E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99,8 процента. Финансирование 17 подпрограмм и 1 долгосрочной целевой</w:t>
      </w:r>
      <w:r w:rsidRPr="008043E2">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8043E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Развитие физической культуры и спорта в Амурской области на 2012-2015 годы</w:t>
      </w:r>
      <w:r w:rsidRPr="008043E2">
        <w:rPr>
          <w:rFonts w:ascii="Times New Roman" w:eastAsia="Times New Roman" w:hAnsi="Times New Roman" w:cs="Times New Roman"/>
          <w:sz w:val="24"/>
          <w:szCs w:val="24"/>
          <w:lang w:eastAsia="ru-RU"/>
        </w:rPr>
        <w:t>» ниже среднесложившегося уровня</w:t>
      </w:r>
      <w:r w:rsidR="00B30D05">
        <w:rPr>
          <w:rFonts w:ascii="Times New Roman" w:eastAsia="Times New Roman" w:hAnsi="Times New Roman" w:cs="Times New Roman"/>
          <w:sz w:val="24"/>
          <w:szCs w:val="24"/>
          <w:lang w:eastAsia="ru-RU"/>
        </w:rPr>
        <w:t>, п</w:t>
      </w:r>
      <w:r w:rsidRPr="008043E2">
        <w:rPr>
          <w:rFonts w:ascii="Times New Roman" w:eastAsia="Times New Roman" w:hAnsi="Times New Roman" w:cs="Times New Roman"/>
          <w:sz w:val="24"/>
          <w:szCs w:val="24"/>
          <w:lang w:eastAsia="ru-RU"/>
        </w:rPr>
        <w:t>оказатели их исполнения находятся в диап</w:t>
      </w:r>
      <w:r>
        <w:rPr>
          <w:rFonts w:ascii="Times New Roman" w:eastAsia="Times New Roman" w:hAnsi="Times New Roman" w:cs="Times New Roman"/>
          <w:sz w:val="24"/>
          <w:szCs w:val="24"/>
          <w:lang w:eastAsia="ru-RU"/>
        </w:rPr>
        <w:t>азоне от 65,8 до 96,4 процента.</w:t>
      </w:r>
    </w:p>
    <w:p w:rsidR="00166485" w:rsidRDefault="00401EF2" w:rsidP="001664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3E2">
        <w:rPr>
          <w:rFonts w:ascii="Times New Roman" w:eastAsia="Times New Roman" w:hAnsi="Times New Roman" w:cs="Times New Roman"/>
          <w:sz w:val="24"/>
          <w:szCs w:val="24"/>
          <w:lang w:eastAsia="ru-RU"/>
        </w:rPr>
        <w:t>Наимен</w:t>
      </w:r>
      <w:r>
        <w:rPr>
          <w:rFonts w:ascii="Times New Roman" w:eastAsia="Times New Roman" w:hAnsi="Times New Roman" w:cs="Times New Roman"/>
          <w:sz w:val="24"/>
          <w:szCs w:val="24"/>
          <w:lang w:eastAsia="ru-RU"/>
        </w:rPr>
        <w:t>ьший показатель исполнения (65,8</w:t>
      </w:r>
      <w:r w:rsidRPr="008043E2">
        <w:rPr>
          <w:rFonts w:ascii="Times New Roman" w:eastAsia="Times New Roman" w:hAnsi="Times New Roman" w:cs="Times New Roman"/>
          <w:sz w:val="24"/>
          <w:szCs w:val="24"/>
          <w:lang w:eastAsia="ru-RU"/>
        </w:rPr>
        <w:t xml:space="preserve"> процента) сложился по подпрограмме «</w:t>
      </w:r>
      <w:r>
        <w:rPr>
          <w:rFonts w:ascii="Times New Roman" w:eastAsia="Times New Roman" w:hAnsi="Times New Roman" w:cs="Times New Roman"/>
          <w:sz w:val="24"/>
          <w:szCs w:val="24"/>
          <w:lang w:eastAsia="ru-RU"/>
        </w:rPr>
        <w:t xml:space="preserve">Обеспечение инженерной </w:t>
      </w:r>
      <w:r w:rsidR="00B71EE6">
        <w:rPr>
          <w:rFonts w:ascii="Times New Roman" w:eastAsia="Times New Roman" w:hAnsi="Times New Roman" w:cs="Times New Roman"/>
          <w:sz w:val="24"/>
          <w:szCs w:val="24"/>
          <w:lang w:eastAsia="ru-RU"/>
        </w:rPr>
        <w:t>инфраструктурой</w:t>
      </w:r>
      <w:r>
        <w:rPr>
          <w:rFonts w:ascii="Times New Roman" w:eastAsia="Times New Roman" w:hAnsi="Times New Roman" w:cs="Times New Roman"/>
          <w:sz w:val="24"/>
          <w:szCs w:val="24"/>
          <w:lang w:eastAsia="ru-RU"/>
        </w:rPr>
        <w:t xml:space="preserve"> земельных участков под строительство жилья на территории Амурской области на 2013-2015 годы»</w:t>
      </w:r>
      <w:r w:rsidRPr="008043E2">
        <w:rPr>
          <w:rFonts w:ascii="Times New Roman" w:eastAsia="Times New Roman" w:hAnsi="Times New Roman" w:cs="Times New Roman"/>
          <w:sz w:val="24"/>
          <w:szCs w:val="24"/>
          <w:lang w:eastAsia="ru-RU"/>
        </w:rPr>
        <w:t xml:space="preserve"> долгосрочной целевой программы «</w:t>
      </w:r>
      <w:r>
        <w:rPr>
          <w:rFonts w:ascii="Times New Roman" w:eastAsia="Times New Roman" w:hAnsi="Times New Roman" w:cs="Times New Roman"/>
          <w:sz w:val="24"/>
          <w:szCs w:val="24"/>
          <w:lang w:eastAsia="ru-RU"/>
        </w:rPr>
        <w:t xml:space="preserve">Обеспечение качественным жильем и услугами ЖКХ населения Амурской области на </w:t>
      </w:r>
      <w:r w:rsidR="00B30D0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2012-2015 годы»</w:t>
      </w:r>
      <w:r w:rsidR="00166485">
        <w:rPr>
          <w:rFonts w:ascii="Times New Roman" w:eastAsia="Times New Roman" w:hAnsi="Times New Roman" w:cs="Times New Roman"/>
          <w:sz w:val="24"/>
          <w:szCs w:val="24"/>
          <w:lang w:eastAsia="ru-RU"/>
        </w:rPr>
        <w:t>,</w:t>
      </w:r>
      <w:r w:rsidR="00166485" w:rsidRPr="00166485">
        <w:rPr>
          <w:rFonts w:ascii="Times New Roman" w:eastAsia="Times New Roman" w:hAnsi="Times New Roman" w:cs="Times New Roman"/>
          <w:sz w:val="24"/>
          <w:szCs w:val="24"/>
          <w:lang w:eastAsia="ru-RU"/>
        </w:rPr>
        <w:t xml:space="preserve"> </w:t>
      </w:r>
      <w:r w:rsidR="00166485" w:rsidRPr="008043E2">
        <w:rPr>
          <w:rFonts w:ascii="Times New Roman" w:eastAsia="Times New Roman" w:hAnsi="Times New Roman" w:cs="Times New Roman"/>
          <w:sz w:val="24"/>
          <w:szCs w:val="24"/>
          <w:lang w:eastAsia="ru-RU"/>
        </w:rPr>
        <w:t>главный распорядитель средств –</w:t>
      </w:r>
      <w:r w:rsidR="00166485">
        <w:rPr>
          <w:rFonts w:ascii="Times New Roman" w:eastAsia="Times New Roman" w:hAnsi="Times New Roman" w:cs="Times New Roman"/>
          <w:sz w:val="24"/>
          <w:szCs w:val="24"/>
          <w:lang w:eastAsia="ru-RU"/>
        </w:rPr>
        <w:t xml:space="preserve"> министерство строительства и архитектуры Амурской области</w:t>
      </w:r>
      <w:r w:rsidR="00166485" w:rsidRPr="008043E2">
        <w:rPr>
          <w:rFonts w:ascii="Times New Roman" w:eastAsia="Times New Roman" w:hAnsi="Times New Roman" w:cs="Times New Roman"/>
          <w:sz w:val="24"/>
          <w:szCs w:val="24"/>
          <w:lang w:eastAsia="ru-RU"/>
        </w:rPr>
        <w:t xml:space="preserve">. </w:t>
      </w:r>
      <w:r w:rsidR="00166485" w:rsidRPr="00CC6AB7">
        <w:rPr>
          <w:rFonts w:ascii="Times New Roman" w:eastAsia="Times New Roman" w:hAnsi="Times New Roman" w:cs="Times New Roman"/>
          <w:sz w:val="24"/>
          <w:szCs w:val="24"/>
          <w:lang w:eastAsia="ru-RU"/>
        </w:rPr>
        <w:t>Ассигнования областного бюджета в размере 33</w:t>
      </w:r>
      <w:r w:rsidR="0011603B">
        <w:rPr>
          <w:rFonts w:ascii="Times New Roman" w:eastAsia="Times New Roman" w:hAnsi="Times New Roman" w:cs="Times New Roman"/>
          <w:sz w:val="24"/>
          <w:szCs w:val="24"/>
          <w:lang w:eastAsia="ru-RU"/>
        </w:rPr>
        <w:t>,7 млн</w:t>
      </w:r>
      <w:r w:rsidR="00166485" w:rsidRPr="00CC6AB7">
        <w:rPr>
          <w:rFonts w:ascii="Times New Roman" w:eastAsia="Times New Roman" w:hAnsi="Times New Roman" w:cs="Times New Roman"/>
          <w:sz w:val="24"/>
          <w:szCs w:val="24"/>
          <w:lang w:eastAsia="ru-RU"/>
        </w:rPr>
        <w:t>. рублей, предусмотренные на финансирование строительства дорог в районе «5 стройка»</w:t>
      </w:r>
      <w:r w:rsidR="00166485">
        <w:rPr>
          <w:rFonts w:ascii="Times New Roman" w:eastAsia="Times New Roman" w:hAnsi="Times New Roman" w:cs="Times New Roman"/>
          <w:sz w:val="24"/>
          <w:szCs w:val="24"/>
          <w:lang w:eastAsia="ru-RU"/>
        </w:rPr>
        <w:br/>
      </w:r>
      <w:r w:rsidR="00166485" w:rsidRPr="00CC6AB7">
        <w:rPr>
          <w:rFonts w:ascii="Times New Roman" w:eastAsia="Times New Roman" w:hAnsi="Times New Roman" w:cs="Times New Roman"/>
          <w:sz w:val="24"/>
          <w:szCs w:val="24"/>
          <w:lang w:eastAsia="ru-RU"/>
        </w:rPr>
        <w:t xml:space="preserve"> г. Благовещенска для обеспечения транспортной инфраструктурой земельных участков, предоставляемых многодетным семьям, не освоены. </w:t>
      </w:r>
      <w:r w:rsidR="00166485">
        <w:rPr>
          <w:rFonts w:ascii="Times New Roman" w:eastAsia="Times New Roman" w:hAnsi="Times New Roman" w:cs="Times New Roman"/>
          <w:sz w:val="24"/>
          <w:szCs w:val="24"/>
          <w:lang w:eastAsia="ru-RU"/>
        </w:rPr>
        <w:t>П</w:t>
      </w:r>
      <w:r w:rsidR="00166485" w:rsidRPr="00937F17">
        <w:rPr>
          <w:rFonts w:ascii="Times New Roman" w:eastAsia="Times New Roman" w:hAnsi="Times New Roman" w:cs="Times New Roman"/>
          <w:sz w:val="24"/>
          <w:szCs w:val="24"/>
          <w:lang w:eastAsia="ru-RU"/>
        </w:rPr>
        <w:t>ричиной неосвоения бюджетных назначений является позднее доведение ассигнований (декабрь 2013 года) и, соответственно, позднее заключение соглашения с а</w:t>
      </w:r>
      <w:r w:rsidR="00166485">
        <w:rPr>
          <w:rFonts w:ascii="Times New Roman" w:eastAsia="Times New Roman" w:hAnsi="Times New Roman" w:cs="Times New Roman"/>
          <w:sz w:val="24"/>
          <w:szCs w:val="24"/>
          <w:lang w:eastAsia="ru-RU"/>
        </w:rPr>
        <w:t>дминистрацией г. Благовещенска.</w:t>
      </w:r>
    </w:p>
    <w:p w:rsidR="00401EF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 полном объеме (на 80,7</w:t>
      </w:r>
      <w:r w:rsidRPr="008043E2">
        <w:rPr>
          <w:rFonts w:ascii="Times New Roman" w:eastAsia="Times New Roman" w:hAnsi="Times New Roman" w:cs="Times New Roman"/>
          <w:sz w:val="24"/>
          <w:szCs w:val="24"/>
          <w:lang w:eastAsia="ru-RU"/>
        </w:rPr>
        <w:t xml:space="preserve"> процента) освоены ассигнования областного бюджета, выделенные на финансирование мероприятий</w:t>
      </w:r>
      <w:r>
        <w:rPr>
          <w:rFonts w:ascii="Times New Roman" w:eastAsia="Times New Roman" w:hAnsi="Times New Roman" w:cs="Times New Roman"/>
          <w:sz w:val="24"/>
          <w:szCs w:val="24"/>
          <w:lang w:eastAsia="ru-RU"/>
        </w:rPr>
        <w:t xml:space="preserve"> долгосрочной целевой программы «Развитие физической культуры и спорта в Амурской области на 2012-2015 годы». </w:t>
      </w:r>
      <w:proofErr w:type="gramStart"/>
      <w:r>
        <w:rPr>
          <w:rFonts w:ascii="Times New Roman" w:eastAsia="Times New Roman" w:hAnsi="Times New Roman" w:cs="Times New Roman"/>
          <w:sz w:val="24"/>
          <w:szCs w:val="24"/>
          <w:lang w:eastAsia="ru-RU"/>
        </w:rPr>
        <w:t>Главным распорядителем - министерством физической культуры и спорта Амурской области не обеспечено освоение в полном объеме ассигнований, предусмотренных на финансирование капитальных вложений, связанных со строительством горнолыжной базы с. Натальино Благовещенского района в рамках реализации долгосрочной программы</w:t>
      </w:r>
      <w:r w:rsidR="00B30D05">
        <w:rPr>
          <w:rFonts w:ascii="Times New Roman" w:eastAsia="Times New Roman" w:hAnsi="Times New Roman" w:cs="Times New Roman"/>
          <w:sz w:val="24"/>
          <w:szCs w:val="24"/>
          <w:lang w:eastAsia="ru-RU"/>
        </w:rPr>
        <w:t>, н</w:t>
      </w:r>
      <w:r>
        <w:rPr>
          <w:rFonts w:ascii="Times New Roman" w:eastAsia="Times New Roman" w:hAnsi="Times New Roman" w:cs="Times New Roman"/>
          <w:sz w:val="24"/>
          <w:szCs w:val="24"/>
          <w:lang w:eastAsia="ru-RU"/>
        </w:rPr>
        <w:t>еосвоение составило 6</w:t>
      </w:r>
      <w:r w:rsidR="0011603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1603B">
        <w:rPr>
          <w:rFonts w:ascii="Times New Roman" w:eastAsia="Times New Roman" w:hAnsi="Times New Roman" w:cs="Times New Roman"/>
          <w:sz w:val="24"/>
          <w:szCs w:val="24"/>
          <w:lang w:eastAsia="ru-RU"/>
        </w:rPr>
        <w:t>млн</w:t>
      </w:r>
      <w:r>
        <w:rPr>
          <w:rFonts w:ascii="Times New Roman" w:eastAsia="Times New Roman" w:hAnsi="Times New Roman" w:cs="Times New Roman"/>
          <w:sz w:val="24"/>
          <w:szCs w:val="24"/>
          <w:lang w:eastAsia="ru-RU"/>
        </w:rPr>
        <w:t>. рублей, или 31,1 процента.</w:t>
      </w:r>
      <w:proofErr w:type="gramEnd"/>
    </w:p>
    <w:p w:rsidR="00401EF2" w:rsidRDefault="00401EF2" w:rsidP="00401E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Ниже среднесложившегося уровня финансирования (95,2 процента) исполнены мероприятия долгосрочной целевой программы «Развитие сельского хозяйства и регулирование рынков сельскохозяйственной продукции, сырья и продовольствия Амурской области на 2013-2020 годы». Причем, мероприятия шести подпрограмм, входящих в состав указанной долгосрочной целевой программы предусматривали софинансирование за счет средств федерального бюджета расходов по предоставлению государственной поддержки </w:t>
      </w:r>
      <w:r w:rsidR="00B71EE6">
        <w:rPr>
          <w:rFonts w:ascii="Times New Roman" w:eastAsia="Times New Roman" w:hAnsi="Times New Roman" w:cs="Times New Roman"/>
          <w:sz w:val="24"/>
          <w:szCs w:val="24"/>
          <w:lang w:eastAsia="ru-RU"/>
        </w:rPr>
        <w:t>сельхозтоваропроизводителям</w:t>
      </w:r>
      <w:r>
        <w:rPr>
          <w:rFonts w:ascii="Times New Roman" w:eastAsia="Times New Roman" w:hAnsi="Times New Roman" w:cs="Times New Roman"/>
          <w:sz w:val="24"/>
          <w:szCs w:val="24"/>
          <w:lang w:eastAsia="ru-RU"/>
        </w:rPr>
        <w:t xml:space="preserve"> </w:t>
      </w:r>
      <w:r w:rsidR="00B71EE6">
        <w:rPr>
          <w:rFonts w:ascii="Times New Roman" w:eastAsia="Times New Roman" w:hAnsi="Times New Roman" w:cs="Times New Roman"/>
          <w:sz w:val="24"/>
          <w:szCs w:val="24"/>
          <w:lang w:eastAsia="ru-RU"/>
        </w:rPr>
        <w:t>области.</w:t>
      </w:r>
      <w:r w:rsidR="00B71EE6" w:rsidRPr="00CC6A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937F17">
        <w:rPr>
          <w:rFonts w:ascii="Times New Roman" w:eastAsia="Times New Roman" w:hAnsi="Times New Roman" w:cs="Times New Roman"/>
          <w:sz w:val="24"/>
          <w:szCs w:val="24"/>
          <w:lang w:eastAsia="ru-RU"/>
        </w:rPr>
        <w:t xml:space="preserve">ричиной неосвоения бюджетных </w:t>
      </w:r>
      <w:r>
        <w:rPr>
          <w:rFonts w:ascii="Times New Roman" w:eastAsia="Times New Roman" w:hAnsi="Times New Roman" w:cs="Times New Roman"/>
          <w:sz w:val="24"/>
          <w:szCs w:val="24"/>
          <w:lang w:eastAsia="ru-RU"/>
        </w:rPr>
        <w:t>ассигнований является отсутствие заявок на предоставление средств государственной поддержки.</w:t>
      </w:r>
    </w:p>
    <w:p w:rsidR="00FB4AE9" w:rsidRPr="00366910" w:rsidRDefault="00FB4AE9" w:rsidP="00FB4AE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w:t>
      </w:r>
      <w:r w:rsidRPr="00486CB4">
        <w:rPr>
          <w:rFonts w:ascii="Times New Roman" w:hAnsi="Times New Roman" w:cs="Times New Roman"/>
          <w:b/>
          <w:sz w:val="24"/>
          <w:szCs w:val="24"/>
        </w:rPr>
        <w:t>. Исполнение областного бюджета в 201</w:t>
      </w:r>
      <w:r>
        <w:rPr>
          <w:rFonts w:ascii="Times New Roman" w:hAnsi="Times New Roman" w:cs="Times New Roman"/>
          <w:b/>
          <w:sz w:val="24"/>
          <w:szCs w:val="24"/>
        </w:rPr>
        <w:t>3</w:t>
      </w:r>
      <w:r w:rsidRPr="00486CB4">
        <w:rPr>
          <w:rFonts w:ascii="Times New Roman" w:hAnsi="Times New Roman" w:cs="Times New Roman"/>
          <w:b/>
          <w:sz w:val="24"/>
          <w:szCs w:val="24"/>
        </w:rPr>
        <w:t xml:space="preserve"> году в части расходов </w:t>
      </w:r>
      <w:r w:rsidRPr="00366910">
        <w:rPr>
          <w:rFonts w:ascii="Times New Roman" w:hAnsi="Times New Roman" w:cs="Times New Roman"/>
          <w:b/>
          <w:sz w:val="24"/>
          <w:szCs w:val="24"/>
        </w:rPr>
        <w:t>на 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w:t>
      </w:r>
      <w:r w:rsidR="00E36AE7">
        <w:rPr>
          <w:rFonts w:ascii="Times New Roman" w:hAnsi="Times New Roman" w:cs="Times New Roman"/>
          <w:b/>
          <w:sz w:val="24"/>
          <w:szCs w:val="24"/>
        </w:rPr>
        <w:t>рственной собственности области</w:t>
      </w:r>
    </w:p>
    <w:p w:rsidR="00FB4AE9" w:rsidRDefault="00FB4AE9" w:rsidP="00FB4AE9">
      <w:pPr>
        <w:spacing w:after="0" w:line="240" w:lineRule="auto"/>
        <w:ind w:firstLine="709"/>
        <w:jc w:val="both"/>
        <w:rPr>
          <w:rFonts w:ascii="Times New Roman" w:hAnsi="Times New Roman" w:cs="Times New Roman"/>
          <w:sz w:val="24"/>
          <w:szCs w:val="24"/>
        </w:rPr>
      </w:pPr>
      <w:r w:rsidRPr="00914EA3">
        <w:rPr>
          <w:rFonts w:ascii="Times New Roman" w:hAnsi="Times New Roman" w:cs="Times New Roman"/>
          <w:sz w:val="24"/>
          <w:szCs w:val="24"/>
        </w:rPr>
        <w:t>Исполнение областного бюджета в 201</w:t>
      </w:r>
      <w:r>
        <w:rPr>
          <w:rFonts w:ascii="Times New Roman" w:hAnsi="Times New Roman" w:cs="Times New Roman"/>
          <w:sz w:val="24"/>
          <w:szCs w:val="24"/>
        </w:rPr>
        <w:t>3</w:t>
      </w:r>
      <w:r w:rsidRPr="00914EA3">
        <w:rPr>
          <w:rFonts w:ascii="Times New Roman" w:hAnsi="Times New Roman" w:cs="Times New Roman"/>
          <w:sz w:val="24"/>
          <w:szCs w:val="24"/>
        </w:rPr>
        <w:t xml:space="preserve"> году в части расходов на </w:t>
      </w:r>
      <w:r>
        <w:rPr>
          <w:rFonts w:ascii="Times New Roman" w:hAnsi="Times New Roman" w:cs="Times New Roman"/>
          <w:sz w:val="24"/>
          <w:szCs w:val="24"/>
        </w:rPr>
        <w:t xml:space="preserve">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собственности области </w:t>
      </w:r>
      <w:r w:rsidRPr="00486CB4">
        <w:rPr>
          <w:rFonts w:ascii="Times New Roman" w:hAnsi="Times New Roman" w:cs="Times New Roman"/>
          <w:sz w:val="24"/>
          <w:szCs w:val="24"/>
        </w:rPr>
        <w:t>осуществлено следующими главными распорядителями бюджетных средств:</w:t>
      </w:r>
    </w:p>
    <w:p w:rsidR="00916908" w:rsidRPr="00916908" w:rsidRDefault="00FB4AE9" w:rsidP="00DB2529">
      <w:pPr>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916908">
        <w:rPr>
          <w:rFonts w:ascii="Times New Roman" w:hAnsi="Times New Roman" w:cs="Times New Roman"/>
          <w:b/>
          <w:i/>
          <w:sz w:val="24"/>
          <w:szCs w:val="24"/>
        </w:rPr>
        <w:t xml:space="preserve">Министерство строительства, архитектуры и жилищно-коммунального </w:t>
      </w:r>
      <w:r w:rsidRPr="00916908">
        <w:rPr>
          <w:rFonts w:ascii="Times New Roman" w:hAnsi="Times New Roman" w:cs="Times New Roman"/>
          <w:b/>
          <w:i/>
          <w:sz w:val="24"/>
          <w:szCs w:val="24"/>
        </w:rPr>
        <w:lastRenderedPageBreak/>
        <w:t xml:space="preserve">хозяйства Амурской области – по 14 объектам государственной собственности </w:t>
      </w:r>
      <w:r w:rsidR="00794F97" w:rsidRPr="00916908">
        <w:rPr>
          <w:rFonts w:ascii="Times New Roman" w:hAnsi="Times New Roman" w:cs="Times New Roman"/>
          <w:b/>
          <w:i/>
          <w:sz w:val="24"/>
          <w:szCs w:val="24"/>
        </w:rPr>
        <w:t>области.</w:t>
      </w:r>
      <w:r w:rsidR="00794F97" w:rsidRPr="00916908">
        <w:rPr>
          <w:rFonts w:ascii="Times New Roman" w:hAnsi="Times New Roman" w:cs="Times New Roman"/>
          <w:bCs/>
          <w:iCs/>
          <w:sz w:val="24"/>
          <w:szCs w:val="24"/>
        </w:rPr>
        <w:t xml:space="preserve"> </w:t>
      </w:r>
    </w:p>
    <w:p w:rsidR="00FB4AE9" w:rsidRPr="00916908" w:rsidRDefault="00FB4AE9" w:rsidP="00DB2529">
      <w:pPr>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916908">
        <w:rPr>
          <w:rFonts w:ascii="Times New Roman" w:hAnsi="Times New Roman" w:cs="Times New Roman"/>
          <w:b/>
          <w:i/>
          <w:sz w:val="24"/>
          <w:szCs w:val="24"/>
        </w:rPr>
        <w:t xml:space="preserve">Министерство по физической культуре и спорту Амурской области – по </w:t>
      </w:r>
      <w:r w:rsidRPr="00916908">
        <w:rPr>
          <w:rFonts w:ascii="Times New Roman" w:hAnsi="Times New Roman" w:cs="Times New Roman"/>
          <w:b/>
          <w:i/>
          <w:sz w:val="24"/>
          <w:szCs w:val="24"/>
        </w:rPr>
        <w:br/>
        <w:t>2 объектам государственной собственности Амурской области:</w:t>
      </w:r>
    </w:p>
    <w:p w:rsidR="00FB4AE9" w:rsidRPr="00486CB4" w:rsidRDefault="00FB4AE9" w:rsidP="00DB2529">
      <w:pPr>
        <w:numPr>
          <w:ilvl w:val="0"/>
          <w:numId w:val="3"/>
        </w:numPr>
        <w:spacing w:after="0" w:line="240" w:lineRule="auto"/>
        <w:ind w:left="0" w:firstLine="709"/>
        <w:contextualSpacing/>
        <w:jc w:val="both"/>
        <w:rPr>
          <w:rFonts w:ascii="Times New Roman" w:hAnsi="Times New Roman" w:cs="Times New Roman"/>
          <w:sz w:val="24"/>
          <w:szCs w:val="24"/>
        </w:rPr>
      </w:pPr>
      <w:r w:rsidRPr="00486CB4">
        <w:rPr>
          <w:rFonts w:ascii="Times New Roman" w:hAnsi="Times New Roman" w:cs="Times New Roman"/>
          <w:sz w:val="24"/>
          <w:szCs w:val="24"/>
        </w:rPr>
        <w:t xml:space="preserve">Строительство горнолыжной базы </w:t>
      </w:r>
      <w:proofErr w:type="gramStart"/>
      <w:r w:rsidRPr="00486CB4">
        <w:rPr>
          <w:rFonts w:ascii="Times New Roman" w:hAnsi="Times New Roman" w:cs="Times New Roman"/>
          <w:sz w:val="24"/>
          <w:szCs w:val="24"/>
        </w:rPr>
        <w:t>в</w:t>
      </w:r>
      <w:proofErr w:type="gramEnd"/>
      <w:r w:rsidRPr="00486CB4">
        <w:rPr>
          <w:rFonts w:ascii="Times New Roman" w:hAnsi="Times New Roman" w:cs="Times New Roman"/>
          <w:sz w:val="24"/>
          <w:szCs w:val="24"/>
        </w:rPr>
        <w:t xml:space="preserve"> с. Натальино Благовещенского района (предусмотрено </w:t>
      </w:r>
      <w:r w:rsidRPr="005A4C1E">
        <w:rPr>
          <w:rFonts w:ascii="Times New Roman" w:hAnsi="Times New Roman" w:cs="Times New Roman"/>
          <w:sz w:val="24"/>
          <w:szCs w:val="24"/>
        </w:rPr>
        <w:t>19</w:t>
      </w:r>
      <w:r w:rsidR="00DB6DA0">
        <w:rPr>
          <w:rFonts w:ascii="Times New Roman" w:hAnsi="Times New Roman" w:cs="Times New Roman"/>
          <w:sz w:val="24"/>
          <w:szCs w:val="24"/>
        </w:rPr>
        <w:t>,</w:t>
      </w:r>
      <w:r w:rsidRPr="005A4C1E">
        <w:rPr>
          <w:rFonts w:ascii="Times New Roman" w:hAnsi="Times New Roman" w:cs="Times New Roman"/>
          <w:sz w:val="24"/>
          <w:szCs w:val="24"/>
        </w:rPr>
        <w:t>5</w:t>
      </w:r>
      <w:r w:rsidR="00DB6DA0">
        <w:rPr>
          <w:rFonts w:ascii="Times New Roman" w:hAnsi="Times New Roman" w:cs="Times New Roman"/>
          <w:sz w:val="24"/>
          <w:szCs w:val="24"/>
        </w:rPr>
        <w:t xml:space="preserve"> млн</w:t>
      </w:r>
      <w:r w:rsidRPr="00486CB4">
        <w:rPr>
          <w:rFonts w:ascii="Times New Roman" w:hAnsi="Times New Roman" w:cs="Times New Roman"/>
          <w:sz w:val="24"/>
          <w:szCs w:val="24"/>
        </w:rPr>
        <w:t xml:space="preserve">. рублей, исполнено </w:t>
      </w:r>
      <w:r>
        <w:rPr>
          <w:rFonts w:ascii="Times New Roman" w:hAnsi="Times New Roman" w:cs="Times New Roman"/>
          <w:sz w:val="24"/>
          <w:szCs w:val="24"/>
        </w:rPr>
        <w:t>13</w:t>
      </w:r>
      <w:r w:rsidR="00DB6DA0">
        <w:rPr>
          <w:rFonts w:ascii="Times New Roman" w:hAnsi="Times New Roman" w:cs="Times New Roman"/>
          <w:sz w:val="24"/>
          <w:szCs w:val="24"/>
        </w:rPr>
        <w:t>,</w:t>
      </w:r>
      <w:r>
        <w:rPr>
          <w:rFonts w:ascii="Times New Roman" w:hAnsi="Times New Roman" w:cs="Times New Roman"/>
          <w:sz w:val="24"/>
          <w:szCs w:val="24"/>
        </w:rPr>
        <w:t>4</w:t>
      </w:r>
      <w:r w:rsidR="00DB6DA0">
        <w:rPr>
          <w:rFonts w:ascii="Times New Roman" w:hAnsi="Times New Roman" w:cs="Times New Roman"/>
          <w:sz w:val="24"/>
          <w:szCs w:val="24"/>
        </w:rPr>
        <w:t xml:space="preserve"> млн</w:t>
      </w:r>
      <w:r w:rsidRPr="00486CB4">
        <w:rPr>
          <w:rFonts w:ascii="Times New Roman" w:hAnsi="Times New Roman" w:cs="Times New Roman"/>
          <w:sz w:val="24"/>
          <w:szCs w:val="24"/>
        </w:rPr>
        <w:t>. рублей)</w:t>
      </w:r>
      <w:r>
        <w:rPr>
          <w:rFonts w:ascii="Times New Roman" w:hAnsi="Times New Roman" w:cs="Times New Roman"/>
          <w:sz w:val="24"/>
          <w:szCs w:val="24"/>
        </w:rPr>
        <w:t>;</w:t>
      </w:r>
    </w:p>
    <w:p w:rsidR="00FB4AE9" w:rsidRPr="00486CB4" w:rsidRDefault="00FB4AE9" w:rsidP="00DB2529">
      <w:pPr>
        <w:numPr>
          <w:ilvl w:val="0"/>
          <w:numId w:val="3"/>
        </w:numPr>
        <w:spacing w:after="0" w:line="240" w:lineRule="auto"/>
        <w:ind w:left="0" w:firstLine="709"/>
        <w:contextualSpacing/>
        <w:jc w:val="both"/>
        <w:rPr>
          <w:rFonts w:ascii="Times New Roman" w:hAnsi="Times New Roman" w:cs="Times New Roman"/>
          <w:sz w:val="24"/>
          <w:szCs w:val="24"/>
        </w:rPr>
      </w:pPr>
      <w:r w:rsidRPr="00486CB4">
        <w:rPr>
          <w:rFonts w:ascii="Times New Roman" w:hAnsi="Times New Roman" w:cs="Times New Roman"/>
          <w:sz w:val="24"/>
          <w:szCs w:val="24"/>
        </w:rPr>
        <w:t xml:space="preserve">Реконструкция стадиона «Амур» (предусмотрено </w:t>
      </w:r>
      <w:r w:rsidRPr="005A4C1E">
        <w:rPr>
          <w:rFonts w:ascii="Times New Roman" w:hAnsi="Times New Roman" w:cs="Times New Roman"/>
          <w:sz w:val="24"/>
          <w:szCs w:val="24"/>
        </w:rPr>
        <w:t>9</w:t>
      </w:r>
      <w:r w:rsidR="00DB6DA0">
        <w:rPr>
          <w:rFonts w:ascii="Times New Roman" w:hAnsi="Times New Roman" w:cs="Times New Roman"/>
          <w:sz w:val="24"/>
          <w:szCs w:val="24"/>
        </w:rPr>
        <w:t>,6</w:t>
      </w:r>
      <w:r w:rsidRPr="005A4C1E">
        <w:rPr>
          <w:rFonts w:ascii="Times New Roman" w:hAnsi="Times New Roman" w:cs="Times New Roman"/>
          <w:sz w:val="24"/>
          <w:szCs w:val="24"/>
        </w:rPr>
        <w:t xml:space="preserve"> </w:t>
      </w:r>
      <w:r w:rsidR="00DB6DA0">
        <w:rPr>
          <w:rFonts w:ascii="Times New Roman" w:hAnsi="Times New Roman" w:cs="Times New Roman"/>
          <w:sz w:val="24"/>
          <w:szCs w:val="24"/>
        </w:rPr>
        <w:t>млн</w:t>
      </w:r>
      <w:r w:rsidRPr="00486CB4">
        <w:rPr>
          <w:rFonts w:ascii="Times New Roman" w:hAnsi="Times New Roman" w:cs="Times New Roman"/>
          <w:sz w:val="24"/>
          <w:szCs w:val="24"/>
        </w:rPr>
        <w:t xml:space="preserve">. рублей, исполнено </w:t>
      </w:r>
      <w:r>
        <w:rPr>
          <w:rFonts w:ascii="Times New Roman" w:hAnsi="Times New Roman" w:cs="Times New Roman"/>
          <w:sz w:val="24"/>
          <w:szCs w:val="24"/>
        </w:rPr>
        <w:t>9</w:t>
      </w:r>
      <w:r w:rsidR="00DB6DA0">
        <w:rPr>
          <w:rFonts w:ascii="Times New Roman" w:hAnsi="Times New Roman" w:cs="Times New Roman"/>
          <w:sz w:val="24"/>
          <w:szCs w:val="24"/>
        </w:rPr>
        <w:t>,6 млн</w:t>
      </w:r>
      <w:r w:rsidRPr="00486CB4">
        <w:rPr>
          <w:rFonts w:ascii="Times New Roman" w:hAnsi="Times New Roman" w:cs="Times New Roman"/>
          <w:sz w:val="24"/>
          <w:szCs w:val="24"/>
        </w:rPr>
        <w:t>. рублей).</w:t>
      </w:r>
    </w:p>
    <w:p w:rsidR="00FB4AE9" w:rsidRPr="00486CB4" w:rsidRDefault="00FB4AE9" w:rsidP="00DB2529">
      <w:pPr>
        <w:numPr>
          <w:ilvl w:val="0"/>
          <w:numId w:val="7"/>
        </w:numPr>
        <w:spacing w:after="0" w:line="240" w:lineRule="auto"/>
        <w:ind w:left="0" w:firstLine="709"/>
        <w:contextualSpacing/>
        <w:jc w:val="both"/>
        <w:rPr>
          <w:rFonts w:ascii="Times New Roman" w:hAnsi="Times New Roman" w:cs="Times New Roman"/>
          <w:b/>
          <w:i/>
          <w:sz w:val="24"/>
          <w:szCs w:val="24"/>
        </w:rPr>
      </w:pPr>
      <w:r w:rsidRPr="00486CB4">
        <w:rPr>
          <w:rFonts w:ascii="Times New Roman" w:hAnsi="Times New Roman" w:cs="Times New Roman"/>
          <w:b/>
          <w:i/>
          <w:sz w:val="24"/>
          <w:szCs w:val="24"/>
        </w:rPr>
        <w:t xml:space="preserve">Министерство культуры и архивного дела области – по </w:t>
      </w:r>
      <w:r>
        <w:rPr>
          <w:rFonts w:ascii="Times New Roman" w:hAnsi="Times New Roman" w:cs="Times New Roman"/>
          <w:b/>
          <w:i/>
          <w:sz w:val="24"/>
          <w:szCs w:val="24"/>
        </w:rPr>
        <w:t>2</w:t>
      </w:r>
      <w:r w:rsidRPr="00486CB4">
        <w:rPr>
          <w:rFonts w:ascii="Times New Roman" w:hAnsi="Times New Roman" w:cs="Times New Roman"/>
          <w:b/>
          <w:i/>
          <w:sz w:val="24"/>
          <w:szCs w:val="24"/>
        </w:rPr>
        <w:t xml:space="preserve"> объектам государственной собственности области, в том числе:</w:t>
      </w:r>
    </w:p>
    <w:p w:rsidR="00FB4AE9" w:rsidRPr="00486CB4" w:rsidRDefault="00FB4AE9" w:rsidP="00DB2529">
      <w:pPr>
        <w:numPr>
          <w:ilvl w:val="0"/>
          <w:numId w:val="4"/>
        </w:numPr>
        <w:spacing w:after="0" w:line="240" w:lineRule="auto"/>
        <w:ind w:left="0" w:firstLine="709"/>
        <w:contextualSpacing/>
        <w:jc w:val="both"/>
        <w:rPr>
          <w:rFonts w:ascii="Times New Roman" w:hAnsi="Times New Roman" w:cs="Times New Roman"/>
          <w:sz w:val="24"/>
          <w:szCs w:val="24"/>
        </w:rPr>
      </w:pPr>
      <w:r w:rsidRPr="00486CB4">
        <w:rPr>
          <w:rFonts w:ascii="Times New Roman" w:hAnsi="Times New Roman" w:cs="Times New Roman"/>
          <w:sz w:val="24"/>
          <w:szCs w:val="24"/>
        </w:rPr>
        <w:t xml:space="preserve">Реконструкция, техническое перевооружение (переоснащение) ГАУК Амурской области «Амурская областная филармония» (предусмотрено </w:t>
      </w:r>
      <w:r>
        <w:rPr>
          <w:rFonts w:ascii="Times New Roman" w:hAnsi="Times New Roman" w:cs="Times New Roman"/>
          <w:sz w:val="24"/>
          <w:szCs w:val="24"/>
        </w:rPr>
        <w:t>845</w:t>
      </w:r>
      <w:r w:rsidRPr="00486CB4">
        <w:rPr>
          <w:rFonts w:ascii="Times New Roman" w:hAnsi="Times New Roman" w:cs="Times New Roman"/>
          <w:sz w:val="24"/>
          <w:szCs w:val="24"/>
        </w:rPr>
        <w:t>,</w:t>
      </w:r>
      <w:r>
        <w:rPr>
          <w:rFonts w:ascii="Times New Roman" w:hAnsi="Times New Roman" w:cs="Times New Roman"/>
          <w:sz w:val="24"/>
          <w:szCs w:val="24"/>
        </w:rPr>
        <w:t>6</w:t>
      </w:r>
      <w:r w:rsidRPr="00486CB4">
        <w:rPr>
          <w:rFonts w:ascii="Times New Roman" w:hAnsi="Times New Roman" w:cs="Times New Roman"/>
          <w:sz w:val="24"/>
          <w:szCs w:val="24"/>
        </w:rPr>
        <w:t xml:space="preserve"> тыс. рублей, исполнено </w:t>
      </w:r>
      <w:r>
        <w:rPr>
          <w:rFonts w:ascii="Times New Roman" w:hAnsi="Times New Roman" w:cs="Times New Roman"/>
          <w:sz w:val="24"/>
          <w:szCs w:val="24"/>
        </w:rPr>
        <w:t>845</w:t>
      </w:r>
      <w:r w:rsidRPr="00486CB4">
        <w:rPr>
          <w:rFonts w:ascii="Times New Roman" w:hAnsi="Times New Roman" w:cs="Times New Roman"/>
          <w:sz w:val="24"/>
          <w:szCs w:val="24"/>
        </w:rPr>
        <w:t>,</w:t>
      </w:r>
      <w:r>
        <w:rPr>
          <w:rFonts w:ascii="Times New Roman" w:hAnsi="Times New Roman" w:cs="Times New Roman"/>
          <w:sz w:val="24"/>
          <w:szCs w:val="24"/>
        </w:rPr>
        <w:t>6</w:t>
      </w:r>
      <w:r w:rsidRPr="00486CB4">
        <w:rPr>
          <w:rFonts w:ascii="Times New Roman" w:hAnsi="Times New Roman" w:cs="Times New Roman"/>
          <w:sz w:val="24"/>
          <w:szCs w:val="24"/>
        </w:rPr>
        <w:t xml:space="preserve"> тыс. рублей);</w:t>
      </w:r>
    </w:p>
    <w:p w:rsidR="00FB4AE9" w:rsidRPr="00486CB4" w:rsidRDefault="00FB4AE9" w:rsidP="00DB2529">
      <w:pPr>
        <w:numPr>
          <w:ilvl w:val="0"/>
          <w:numId w:val="4"/>
        </w:numPr>
        <w:spacing w:after="0" w:line="240" w:lineRule="auto"/>
        <w:ind w:left="0" w:firstLine="709"/>
        <w:contextualSpacing/>
        <w:jc w:val="both"/>
        <w:rPr>
          <w:rFonts w:ascii="Times New Roman" w:hAnsi="Times New Roman" w:cs="Times New Roman"/>
          <w:sz w:val="24"/>
          <w:szCs w:val="24"/>
        </w:rPr>
      </w:pPr>
      <w:r w:rsidRPr="00486CB4">
        <w:rPr>
          <w:rFonts w:ascii="Times New Roman" w:hAnsi="Times New Roman" w:cs="Times New Roman"/>
          <w:sz w:val="24"/>
          <w:szCs w:val="24"/>
        </w:rPr>
        <w:t xml:space="preserve">Реконструкция Амурского областного Дома народного творчества, </w:t>
      </w:r>
      <w:r w:rsidRPr="00486CB4">
        <w:rPr>
          <w:rFonts w:ascii="Times New Roman" w:hAnsi="Times New Roman" w:cs="Times New Roman"/>
          <w:sz w:val="24"/>
          <w:szCs w:val="24"/>
        </w:rPr>
        <w:br/>
        <w:t xml:space="preserve">г. Благовещенск (предусмотрено </w:t>
      </w:r>
      <w:r>
        <w:rPr>
          <w:rFonts w:ascii="Times New Roman" w:hAnsi="Times New Roman" w:cs="Times New Roman"/>
          <w:sz w:val="24"/>
          <w:szCs w:val="24"/>
        </w:rPr>
        <w:t>8</w:t>
      </w:r>
      <w:r w:rsidRPr="00486CB4">
        <w:rPr>
          <w:rFonts w:ascii="Times New Roman" w:hAnsi="Times New Roman" w:cs="Times New Roman"/>
          <w:sz w:val="24"/>
          <w:szCs w:val="24"/>
        </w:rPr>
        <w:t xml:space="preserve">,0 </w:t>
      </w:r>
      <w:r w:rsidR="00DB6DA0">
        <w:rPr>
          <w:rFonts w:ascii="Times New Roman" w:hAnsi="Times New Roman" w:cs="Times New Roman"/>
          <w:sz w:val="24"/>
          <w:szCs w:val="24"/>
        </w:rPr>
        <w:t>млн</w:t>
      </w:r>
      <w:r w:rsidRPr="00486CB4">
        <w:rPr>
          <w:rFonts w:ascii="Times New Roman" w:hAnsi="Times New Roman" w:cs="Times New Roman"/>
          <w:sz w:val="24"/>
          <w:szCs w:val="24"/>
        </w:rPr>
        <w:t xml:space="preserve">. рублей, исполнено </w:t>
      </w:r>
      <w:r>
        <w:rPr>
          <w:rFonts w:ascii="Times New Roman" w:hAnsi="Times New Roman" w:cs="Times New Roman"/>
          <w:sz w:val="24"/>
          <w:szCs w:val="24"/>
        </w:rPr>
        <w:t>8</w:t>
      </w:r>
      <w:r w:rsidRPr="00486CB4">
        <w:rPr>
          <w:rFonts w:ascii="Times New Roman" w:hAnsi="Times New Roman" w:cs="Times New Roman"/>
          <w:sz w:val="24"/>
          <w:szCs w:val="24"/>
        </w:rPr>
        <w:t xml:space="preserve">,0 </w:t>
      </w:r>
      <w:r w:rsidR="00DB6DA0">
        <w:rPr>
          <w:rFonts w:ascii="Times New Roman" w:hAnsi="Times New Roman" w:cs="Times New Roman"/>
          <w:sz w:val="24"/>
          <w:szCs w:val="24"/>
        </w:rPr>
        <w:t>млн</w:t>
      </w:r>
      <w:r w:rsidRPr="00486CB4">
        <w:rPr>
          <w:rFonts w:ascii="Times New Roman" w:hAnsi="Times New Roman" w:cs="Times New Roman"/>
          <w:sz w:val="24"/>
          <w:szCs w:val="24"/>
        </w:rPr>
        <w:t>. рублей).</w:t>
      </w:r>
    </w:p>
    <w:p w:rsidR="00FB4AE9" w:rsidRPr="00486CB4" w:rsidRDefault="00FB4AE9" w:rsidP="00DB2529">
      <w:pPr>
        <w:numPr>
          <w:ilvl w:val="0"/>
          <w:numId w:val="7"/>
        </w:numPr>
        <w:spacing w:after="0" w:line="240" w:lineRule="auto"/>
        <w:ind w:left="0" w:firstLine="709"/>
        <w:contextualSpacing/>
        <w:jc w:val="both"/>
        <w:rPr>
          <w:rFonts w:ascii="Times New Roman" w:hAnsi="Times New Roman" w:cs="Times New Roman"/>
          <w:b/>
          <w:i/>
          <w:sz w:val="24"/>
          <w:szCs w:val="24"/>
        </w:rPr>
      </w:pPr>
      <w:r w:rsidRPr="00486CB4">
        <w:rPr>
          <w:rFonts w:ascii="Times New Roman" w:hAnsi="Times New Roman" w:cs="Times New Roman"/>
          <w:b/>
          <w:i/>
          <w:sz w:val="24"/>
          <w:szCs w:val="24"/>
        </w:rPr>
        <w:t xml:space="preserve">Министерство здравоохранения области – по </w:t>
      </w:r>
      <w:r>
        <w:rPr>
          <w:rFonts w:ascii="Times New Roman" w:hAnsi="Times New Roman" w:cs="Times New Roman"/>
          <w:b/>
          <w:i/>
          <w:sz w:val="24"/>
          <w:szCs w:val="24"/>
        </w:rPr>
        <w:t>2</w:t>
      </w:r>
      <w:r w:rsidRPr="00486CB4">
        <w:rPr>
          <w:rFonts w:ascii="Times New Roman" w:hAnsi="Times New Roman" w:cs="Times New Roman"/>
          <w:b/>
          <w:i/>
          <w:sz w:val="24"/>
          <w:szCs w:val="24"/>
        </w:rPr>
        <w:t xml:space="preserve"> объект</w:t>
      </w:r>
      <w:r>
        <w:rPr>
          <w:rFonts w:ascii="Times New Roman" w:hAnsi="Times New Roman" w:cs="Times New Roman"/>
          <w:b/>
          <w:i/>
          <w:sz w:val="24"/>
          <w:szCs w:val="24"/>
        </w:rPr>
        <w:t>ам</w:t>
      </w:r>
      <w:r w:rsidRPr="00486CB4">
        <w:rPr>
          <w:rFonts w:ascii="Times New Roman" w:hAnsi="Times New Roman" w:cs="Times New Roman"/>
          <w:b/>
          <w:i/>
          <w:sz w:val="24"/>
          <w:szCs w:val="24"/>
        </w:rPr>
        <w:t xml:space="preserve"> государственной собственности области, в том числе:</w:t>
      </w:r>
    </w:p>
    <w:p w:rsidR="00FB4AE9" w:rsidRDefault="00FB4AE9" w:rsidP="00DB2529">
      <w:pPr>
        <w:numPr>
          <w:ilvl w:val="0"/>
          <w:numId w:val="4"/>
        </w:numPr>
        <w:spacing w:after="0" w:line="240" w:lineRule="auto"/>
        <w:ind w:left="0" w:firstLine="709"/>
        <w:contextualSpacing/>
        <w:jc w:val="both"/>
        <w:rPr>
          <w:rFonts w:ascii="Times New Roman" w:hAnsi="Times New Roman" w:cs="Times New Roman"/>
          <w:sz w:val="24"/>
          <w:szCs w:val="24"/>
        </w:rPr>
      </w:pPr>
      <w:r w:rsidRPr="00486CB4">
        <w:rPr>
          <w:rFonts w:ascii="Times New Roman" w:hAnsi="Times New Roman" w:cs="Times New Roman"/>
          <w:sz w:val="24"/>
          <w:szCs w:val="24"/>
        </w:rPr>
        <w:t xml:space="preserve">Реконструкция травматологического центра 2 уровня на 15 коек на базе хирургического корпуса ГБУЗ «Белогорская городская больница» (предусмотрено </w:t>
      </w:r>
      <w:r w:rsidRPr="00486CB4">
        <w:rPr>
          <w:rFonts w:ascii="Times New Roman" w:hAnsi="Times New Roman" w:cs="Times New Roman"/>
          <w:sz w:val="24"/>
          <w:szCs w:val="24"/>
        </w:rPr>
        <w:br/>
      </w:r>
      <w:r>
        <w:rPr>
          <w:rFonts w:ascii="Times New Roman" w:hAnsi="Times New Roman" w:cs="Times New Roman"/>
          <w:sz w:val="24"/>
          <w:szCs w:val="24"/>
        </w:rPr>
        <w:t>7</w:t>
      </w:r>
      <w:r w:rsidRPr="00486CB4">
        <w:rPr>
          <w:rFonts w:ascii="Times New Roman" w:hAnsi="Times New Roman" w:cs="Times New Roman"/>
          <w:sz w:val="24"/>
          <w:szCs w:val="24"/>
        </w:rPr>
        <w:t>,</w:t>
      </w:r>
      <w:r>
        <w:rPr>
          <w:rFonts w:ascii="Times New Roman" w:hAnsi="Times New Roman" w:cs="Times New Roman"/>
          <w:sz w:val="24"/>
          <w:szCs w:val="24"/>
        </w:rPr>
        <w:t xml:space="preserve">0 </w:t>
      </w:r>
      <w:r w:rsidR="00DB6DA0">
        <w:rPr>
          <w:rFonts w:ascii="Times New Roman" w:hAnsi="Times New Roman" w:cs="Times New Roman"/>
          <w:sz w:val="24"/>
          <w:szCs w:val="24"/>
        </w:rPr>
        <w:t>млн</w:t>
      </w:r>
      <w:r w:rsidRPr="00486CB4">
        <w:rPr>
          <w:rFonts w:ascii="Times New Roman" w:hAnsi="Times New Roman" w:cs="Times New Roman"/>
          <w:sz w:val="24"/>
          <w:szCs w:val="24"/>
        </w:rPr>
        <w:t xml:space="preserve">. рублей, исполнено </w:t>
      </w:r>
      <w:r>
        <w:rPr>
          <w:rFonts w:ascii="Times New Roman" w:hAnsi="Times New Roman" w:cs="Times New Roman"/>
          <w:sz w:val="24"/>
          <w:szCs w:val="24"/>
        </w:rPr>
        <w:t>7</w:t>
      </w:r>
      <w:r w:rsidRPr="00486CB4">
        <w:rPr>
          <w:rFonts w:ascii="Times New Roman" w:hAnsi="Times New Roman" w:cs="Times New Roman"/>
          <w:sz w:val="24"/>
          <w:szCs w:val="24"/>
        </w:rPr>
        <w:t>,</w:t>
      </w:r>
      <w:r>
        <w:rPr>
          <w:rFonts w:ascii="Times New Roman" w:hAnsi="Times New Roman" w:cs="Times New Roman"/>
          <w:sz w:val="24"/>
          <w:szCs w:val="24"/>
        </w:rPr>
        <w:t xml:space="preserve">0 </w:t>
      </w:r>
      <w:r w:rsidR="00DB6DA0">
        <w:rPr>
          <w:rFonts w:ascii="Times New Roman" w:hAnsi="Times New Roman" w:cs="Times New Roman"/>
          <w:sz w:val="24"/>
          <w:szCs w:val="24"/>
        </w:rPr>
        <w:t>млн</w:t>
      </w:r>
      <w:r w:rsidRPr="00486CB4">
        <w:rPr>
          <w:rFonts w:ascii="Times New Roman" w:hAnsi="Times New Roman" w:cs="Times New Roman"/>
          <w:sz w:val="24"/>
          <w:szCs w:val="24"/>
        </w:rPr>
        <w:t>. рублей)</w:t>
      </w:r>
      <w:r>
        <w:rPr>
          <w:rFonts w:ascii="Times New Roman" w:hAnsi="Times New Roman" w:cs="Times New Roman"/>
          <w:sz w:val="24"/>
          <w:szCs w:val="24"/>
        </w:rPr>
        <w:t>;</w:t>
      </w:r>
    </w:p>
    <w:p w:rsidR="00FB4AE9" w:rsidRDefault="00FB4AE9" w:rsidP="00DB2529">
      <w:pPr>
        <w:numPr>
          <w:ilvl w:val="0"/>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ГБУЗ Амурской области «Завитинская больница», поликлиника </w:t>
      </w:r>
      <w:r w:rsidR="00E36AE7">
        <w:rPr>
          <w:rFonts w:ascii="Times New Roman" w:hAnsi="Times New Roman" w:cs="Times New Roman"/>
          <w:sz w:val="24"/>
          <w:szCs w:val="24"/>
        </w:rPr>
        <w:br/>
      </w:r>
      <w:r>
        <w:rPr>
          <w:rFonts w:ascii="Times New Roman" w:hAnsi="Times New Roman" w:cs="Times New Roman"/>
          <w:sz w:val="24"/>
          <w:szCs w:val="24"/>
        </w:rPr>
        <w:t xml:space="preserve">на 250 посещений в смену </w:t>
      </w:r>
      <w:r w:rsidRPr="00486CB4">
        <w:rPr>
          <w:rFonts w:ascii="Times New Roman" w:hAnsi="Times New Roman" w:cs="Times New Roman"/>
          <w:sz w:val="24"/>
          <w:szCs w:val="24"/>
        </w:rPr>
        <w:t xml:space="preserve">(предусмотрено </w:t>
      </w:r>
      <w:r>
        <w:rPr>
          <w:rFonts w:ascii="Times New Roman" w:hAnsi="Times New Roman" w:cs="Times New Roman"/>
          <w:sz w:val="24"/>
          <w:szCs w:val="24"/>
        </w:rPr>
        <w:t>643</w:t>
      </w:r>
      <w:r w:rsidRPr="00486CB4">
        <w:rPr>
          <w:rFonts w:ascii="Times New Roman" w:hAnsi="Times New Roman" w:cs="Times New Roman"/>
          <w:sz w:val="24"/>
          <w:szCs w:val="24"/>
        </w:rPr>
        <w:t>,</w:t>
      </w:r>
      <w:r>
        <w:rPr>
          <w:rFonts w:ascii="Times New Roman" w:hAnsi="Times New Roman" w:cs="Times New Roman"/>
          <w:sz w:val="24"/>
          <w:szCs w:val="24"/>
        </w:rPr>
        <w:t xml:space="preserve">6 </w:t>
      </w:r>
      <w:r w:rsidRPr="00486CB4">
        <w:rPr>
          <w:rFonts w:ascii="Times New Roman" w:hAnsi="Times New Roman" w:cs="Times New Roman"/>
          <w:sz w:val="24"/>
          <w:szCs w:val="24"/>
        </w:rPr>
        <w:t xml:space="preserve"> тыс. рублей, исполнено </w:t>
      </w:r>
      <w:r>
        <w:rPr>
          <w:rFonts w:ascii="Times New Roman" w:hAnsi="Times New Roman" w:cs="Times New Roman"/>
          <w:sz w:val="24"/>
          <w:szCs w:val="24"/>
        </w:rPr>
        <w:t>643</w:t>
      </w:r>
      <w:r w:rsidRPr="00486CB4">
        <w:rPr>
          <w:rFonts w:ascii="Times New Roman" w:hAnsi="Times New Roman" w:cs="Times New Roman"/>
          <w:sz w:val="24"/>
          <w:szCs w:val="24"/>
        </w:rPr>
        <w:t>,</w:t>
      </w:r>
      <w:r>
        <w:rPr>
          <w:rFonts w:ascii="Times New Roman" w:hAnsi="Times New Roman" w:cs="Times New Roman"/>
          <w:sz w:val="24"/>
          <w:szCs w:val="24"/>
        </w:rPr>
        <w:t xml:space="preserve">6 </w:t>
      </w:r>
      <w:r w:rsidRPr="00486CB4">
        <w:rPr>
          <w:rFonts w:ascii="Times New Roman" w:hAnsi="Times New Roman" w:cs="Times New Roman"/>
          <w:sz w:val="24"/>
          <w:szCs w:val="24"/>
        </w:rPr>
        <w:t>тыс. рублей)</w:t>
      </w:r>
      <w:r>
        <w:rPr>
          <w:rFonts w:ascii="Times New Roman" w:hAnsi="Times New Roman" w:cs="Times New Roman"/>
          <w:sz w:val="24"/>
          <w:szCs w:val="24"/>
        </w:rPr>
        <w:t>.</w:t>
      </w:r>
    </w:p>
    <w:p w:rsidR="00FB4AE9" w:rsidRPr="005A4C1E" w:rsidRDefault="00FB4AE9" w:rsidP="00DB2529">
      <w:pPr>
        <w:pStyle w:val="afa"/>
        <w:widowControl/>
        <w:numPr>
          <w:ilvl w:val="0"/>
          <w:numId w:val="7"/>
        </w:numPr>
        <w:autoSpaceDE/>
        <w:autoSpaceDN/>
        <w:adjustRightInd/>
        <w:ind w:left="0" w:firstLine="709"/>
        <w:jc w:val="both"/>
        <w:rPr>
          <w:b/>
          <w:i/>
          <w:sz w:val="24"/>
          <w:szCs w:val="24"/>
        </w:rPr>
      </w:pPr>
      <w:r w:rsidRPr="005A4C1E">
        <w:rPr>
          <w:b/>
          <w:i/>
          <w:sz w:val="24"/>
          <w:szCs w:val="24"/>
        </w:rPr>
        <w:t xml:space="preserve">Министерство </w:t>
      </w:r>
      <w:r>
        <w:rPr>
          <w:b/>
          <w:i/>
          <w:sz w:val="24"/>
          <w:szCs w:val="24"/>
        </w:rPr>
        <w:t>образова</w:t>
      </w:r>
      <w:r w:rsidRPr="005A4C1E">
        <w:rPr>
          <w:b/>
          <w:i/>
          <w:sz w:val="24"/>
          <w:szCs w:val="24"/>
        </w:rPr>
        <w:t>ния</w:t>
      </w:r>
      <w:r>
        <w:rPr>
          <w:b/>
          <w:i/>
          <w:sz w:val="24"/>
          <w:szCs w:val="24"/>
        </w:rPr>
        <w:t xml:space="preserve"> и науки</w:t>
      </w:r>
      <w:r w:rsidRPr="005A4C1E">
        <w:rPr>
          <w:b/>
          <w:i/>
          <w:sz w:val="24"/>
          <w:szCs w:val="24"/>
        </w:rPr>
        <w:t xml:space="preserve"> области – по </w:t>
      </w:r>
      <w:r>
        <w:rPr>
          <w:b/>
          <w:i/>
          <w:sz w:val="24"/>
          <w:szCs w:val="24"/>
        </w:rPr>
        <w:t>1</w:t>
      </w:r>
      <w:r w:rsidRPr="005A4C1E">
        <w:rPr>
          <w:b/>
          <w:i/>
          <w:sz w:val="24"/>
          <w:szCs w:val="24"/>
        </w:rPr>
        <w:t xml:space="preserve"> объект</w:t>
      </w:r>
      <w:r>
        <w:rPr>
          <w:b/>
          <w:i/>
          <w:sz w:val="24"/>
          <w:szCs w:val="24"/>
        </w:rPr>
        <w:t>у</w:t>
      </w:r>
      <w:r w:rsidRPr="005A4C1E">
        <w:rPr>
          <w:b/>
          <w:i/>
          <w:sz w:val="24"/>
          <w:szCs w:val="24"/>
        </w:rPr>
        <w:t xml:space="preserve"> государственной собственности облас</w:t>
      </w:r>
      <w:r w:rsidR="00E36AE7">
        <w:rPr>
          <w:b/>
          <w:i/>
          <w:sz w:val="24"/>
          <w:szCs w:val="24"/>
        </w:rPr>
        <w:t>ти</w:t>
      </w:r>
      <w:r w:rsidRPr="005A4C1E">
        <w:rPr>
          <w:b/>
          <w:i/>
          <w:sz w:val="24"/>
          <w:szCs w:val="24"/>
        </w:rPr>
        <w:t>:</w:t>
      </w:r>
    </w:p>
    <w:p w:rsidR="00FB4AE9" w:rsidRPr="005A4C1E" w:rsidRDefault="00FB4AE9" w:rsidP="008F6835">
      <w:pPr>
        <w:pStyle w:val="afa"/>
        <w:widowControl/>
        <w:numPr>
          <w:ilvl w:val="0"/>
          <w:numId w:val="33"/>
        </w:numPr>
        <w:autoSpaceDE/>
        <w:autoSpaceDN/>
        <w:adjustRightInd/>
        <w:ind w:left="0" w:firstLine="709"/>
        <w:jc w:val="both"/>
        <w:rPr>
          <w:sz w:val="24"/>
          <w:szCs w:val="24"/>
        </w:rPr>
      </w:pPr>
      <w:r w:rsidRPr="005A4C1E">
        <w:rPr>
          <w:sz w:val="24"/>
          <w:szCs w:val="24"/>
        </w:rPr>
        <w:t xml:space="preserve">Строительство бани Государственного специального учебно-воспитательного </w:t>
      </w:r>
      <w:r w:rsidR="00E36AE7">
        <w:rPr>
          <w:sz w:val="24"/>
          <w:szCs w:val="24"/>
        </w:rPr>
        <w:t xml:space="preserve">автономного </w:t>
      </w:r>
      <w:r w:rsidRPr="005A4C1E">
        <w:rPr>
          <w:sz w:val="24"/>
          <w:szCs w:val="24"/>
        </w:rPr>
        <w:t xml:space="preserve">учреждения Амурской области закрытого типа специальной общеобразовательной </w:t>
      </w:r>
      <w:r w:rsidR="00E36AE7">
        <w:rPr>
          <w:sz w:val="24"/>
          <w:szCs w:val="24"/>
        </w:rPr>
        <w:t xml:space="preserve">школы </w:t>
      </w:r>
      <w:r w:rsidRPr="005A4C1E">
        <w:rPr>
          <w:sz w:val="24"/>
          <w:szCs w:val="24"/>
        </w:rPr>
        <w:t xml:space="preserve">закрытого типа </w:t>
      </w:r>
      <w:r w:rsidR="00B71EE6" w:rsidRPr="005A4C1E">
        <w:rPr>
          <w:sz w:val="24"/>
          <w:szCs w:val="24"/>
        </w:rPr>
        <w:t>п.</w:t>
      </w:r>
      <w:r w:rsidR="00B71EE6">
        <w:rPr>
          <w:sz w:val="24"/>
          <w:szCs w:val="24"/>
        </w:rPr>
        <w:t xml:space="preserve"> </w:t>
      </w:r>
      <w:r w:rsidR="00B71EE6" w:rsidRPr="005A4C1E">
        <w:rPr>
          <w:sz w:val="24"/>
          <w:szCs w:val="24"/>
        </w:rPr>
        <w:t>Юхта</w:t>
      </w:r>
      <w:r w:rsidRPr="005A4C1E">
        <w:rPr>
          <w:sz w:val="24"/>
          <w:szCs w:val="24"/>
        </w:rPr>
        <w:t xml:space="preserve"> (предусмотрено 5</w:t>
      </w:r>
      <w:r w:rsidR="00DB6DA0">
        <w:rPr>
          <w:sz w:val="24"/>
          <w:szCs w:val="24"/>
        </w:rPr>
        <w:t>,</w:t>
      </w:r>
      <w:r w:rsidRPr="005A4C1E">
        <w:rPr>
          <w:sz w:val="24"/>
          <w:szCs w:val="24"/>
        </w:rPr>
        <w:t xml:space="preserve">0 </w:t>
      </w:r>
      <w:r w:rsidR="00DB6DA0">
        <w:rPr>
          <w:sz w:val="24"/>
          <w:szCs w:val="24"/>
        </w:rPr>
        <w:t>млн</w:t>
      </w:r>
      <w:r w:rsidRPr="005A4C1E">
        <w:rPr>
          <w:sz w:val="24"/>
          <w:szCs w:val="24"/>
        </w:rPr>
        <w:t>. рублей, исполнено</w:t>
      </w:r>
      <w:r w:rsidR="00E36AE7">
        <w:rPr>
          <w:sz w:val="24"/>
          <w:szCs w:val="24"/>
        </w:rPr>
        <w:t xml:space="preserve"> </w:t>
      </w:r>
      <w:r w:rsidRPr="005A4C1E">
        <w:rPr>
          <w:sz w:val="24"/>
          <w:szCs w:val="24"/>
        </w:rPr>
        <w:t xml:space="preserve">5,0 </w:t>
      </w:r>
      <w:r w:rsidR="00DB6DA0">
        <w:rPr>
          <w:sz w:val="24"/>
          <w:szCs w:val="24"/>
        </w:rPr>
        <w:t>млн</w:t>
      </w:r>
      <w:r w:rsidRPr="005A4C1E">
        <w:rPr>
          <w:sz w:val="24"/>
          <w:szCs w:val="24"/>
        </w:rPr>
        <w:t>. рублей).</w:t>
      </w:r>
    </w:p>
    <w:p w:rsidR="00FB4AE9" w:rsidRPr="00E36AE7" w:rsidRDefault="00FB4AE9" w:rsidP="00DB2529">
      <w:pPr>
        <w:numPr>
          <w:ilvl w:val="0"/>
          <w:numId w:val="8"/>
        </w:numPr>
        <w:spacing w:after="0" w:line="240" w:lineRule="auto"/>
        <w:ind w:left="0" w:firstLine="709"/>
        <w:contextualSpacing/>
        <w:jc w:val="both"/>
        <w:rPr>
          <w:rFonts w:ascii="Times New Roman" w:hAnsi="Times New Roman" w:cs="Times New Roman"/>
          <w:b/>
          <w:i/>
          <w:sz w:val="24"/>
          <w:szCs w:val="24"/>
        </w:rPr>
      </w:pPr>
      <w:r w:rsidRPr="00486CB4">
        <w:rPr>
          <w:rFonts w:ascii="Times New Roman" w:hAnsi="Times New Roman" w:cs="Times New Roman"/>
          <w:b/>
          <w:i/>
          <w:sz w:val="24"/>
          <w:szCs w:val="24"/>
        </w:rPr>
        <w:t xml:space="preserve">Управление по охране, контролю и регулированию использования объектов животного мира и среды их обитания Амурской области – по </w:t>
      </w:r>
      <w:r>
        <w:rPr>
          <w:rFonts w:ascii="Times New Roman" w:hAnsi="Times New Roman" w:cs="Times New Roman"/>
          <w:b/>
          <w:i/>
          <w:sz w:val="24"/>
          <w:szCs w:val="24"/>
        </w:rPr>
        <w:t>1</w:t>
      </w:r>
      <w:r w:rsidRPr="00486CB4">
        <w:rPr>
          <w:rFonts w:ascii="Times New Roman" w:hAnsi="Times New Roman" w:cs="Times New Roman"/>
          <w:b/>
          <w:i/>
          <w:sz w:val="24"/>
          <w:szCs w:val="24"/>
        </w:rPr>
        <w:t xml:space="preserve"> объект</w:t>
      </w:r>
      <w:r>
        <w:rPr>
          <w:rFonts w:ascii="Times New Roman" w:hAnsi="Times New Roman" w:cs="Times New Roman"/>
          <w:b/>
          <w:i/>
          <w:sz w:val="24"/>
          <w:szCs w:val="24"/>
        </w:rPr>
        <w:t>у</w:t>
      </w:r>
      <w:r w:rsidRPr="00486CB4">
        <w:rPr>
          <w:rFonts w:ascii="Times New Roman" w:hAnsi="Times New Roman" w:cs="Times New Roman"/>
          <w:b/>
          <w:i/>
          <w:sz w:val="24"/>
          <w:szCs w:val="24"/>
        </w:rPr>
        <w:t xml:space="preserve"> государственной собственности области</w:t>
      </w:r>
      <w:r w:rsidRPr="00E36AE7">
        <w:rPr>
          <w:rFonts w:ascii="Times New Roman" w:hAnsi="Times New Roman" w:cs="Times New Roman"/>
          <w:b/>
          <w:i/>
          <w:sz w:val="24"/>
          <w:szCs w:val="24"/>
        </w:rPr>
        <w:t>:</w:t>
      </w:r>
    </w:p>
    <w:p w:rsidR="00FB4AE9" w:rsidRPr="00486CB4" w:rsidRDefault="00FB4AE9" w:rsidP="00DB2529">
      <w:pPr>
        <w:numPr>
          <w:ilvl w:val="0"/>
          <w:numId w:val="5"/>
        </w:numPr>
        <w:spacing w:after="0" w:line="240" w:lineRule="auto"/>
        <w:ind w:left="0" w:firstLine="709"/>
        <w:contextualSpacing/>
        <w:jc w:val="both"/>
        <w:rPr>
          <w:rFonts w:ascii="Times New Roman" w:hAnsi="Times New Roman" w:cs="Times New Roman"/>
          <w:sz w:val="24"/>
          <w:szCs w:val="24"/>
        </w:rPr>
      </w:pPr>
      <w:r w:rsidRPr="00486CB4">
        <w:rPr>
          <w:rFonts w:ascii="Times New Roman" w:hAnsi="Times New Roman" w:cs="Times New Roman"/>
          <w:sz w:val="24"/>
          <w:szCs w:val="24"/>
        </w:rPr>
        <w:t xml:space="preserve">Реконструкция и строительство объектов центра по охране природы «Зейский» (предусмотрено </w:t>
      </w:r>
      <w:r>
        <w:rPr>
          <w:rFonts w:ascii="Times New Roman" w:hAnsi="Times New Roman" w:cs="Times New Roman"/>
          <w:sz w:val="24"/>
          <w:szCs w:val="24"/>
        </w:rPr>
        <w:t>2999,7</w:t>
      </w:r>
      <w:r w:rsidRPr="00486CB4">
        <w:rPr>
          <w:rFonts w:ascii="Times New Roman" w:hAnsi="Times New Roman" w:cs="Times New Roman"/>
          <w:sz w:val="24"/>
          <w:szCs w:val="24"/>
        </w:rPr>
        <w:t xml:space="preserve"> тыс. рублей, исполнено </w:t>
      </w:r>
      <w:r>
        <w:rPr>
          <w:rFonts w:ascii="Times New Roman" w:hAnsi="Times New Roman" w:cs="Times New Roman"/>
          <w:sz w:val="24"/>
          <w:szCs w:val="24"/>
        </w:rPr>
        <w:t>2999,7</w:t>
      </w:r>
      <w:r w:rsidRPr="00486CB4">
        <w:rPr>
          <w:rFonts w:ascii="Times New Roman" w:hAnsi="Times New Roman" w:cs="Times New Roman"/>
          <w:sz w:val="24"/>
          <w:szCs w:val="24"/>
        </w:rPr>
        <w:t xml:space="preserve"> тыс. рублей).</w:t>
      </w:r>
    </w:p>
    <w:p w:rsidR="00891F3D" w:rsidRPr="00891F3D" w:rsidRDefault="00FB4AE9" w:rsidP="00891F3D">
      <w:pPr>
        <w:widowControl w:val="0"/>
        <w:numPr>
          <w:ilvl w:val="0"/>
          <w:numId w:val="9"/>
        </w:numPr>
        <w:shd w:val="clear" w:color="auto" w:fill="FFFFFF"/>
        <w:autoSpaceDE w:val="0"/>
        <w:autoSpaceDN w:val="0"/>
        <w:adjustRightInd w:val="0"/>
        <w:spacing w:after="0" w:line="240" w:lineRule="auto"/>
        <w:ind w:left="284" w:firstLine="709"/>
        <w:contextualSpacing/>
        <w:jc w:val="both"/>
        <w:rPr>
          <w:rFonts w:ascii="Times New Roman" w:hAnsi="Times New Roman" w:cs="Times New Roman"/>
          <w:sz w:val="24"/>
          <w:szCs w:val="24"/>
        </w:rPr>
      </w:pPr>
      <w:r w:rsidRPr="00891F3D">
        <w:rPr>
          <w:rFonts w:ascii="Times New Roman" w:hAnsi="Times New Roman" w:cs="Times New Roman"/>
          <w:b/>
          <w:i/>
          <w:sz w:val="24"/>
          <w:szCs w:val="24"/>
        </w:rPr>
        <w:t xml:space="preserve">Министерство транспорта и дорожного хозяйства Амурской области по 43 объектам </w:t>
      </w:r>
      <w:r w:rsidRPr="00891F3D">
        <w:rPr>
          <w:rFonts w:ascii="Times New Roman" w:hAnsi="Times New Roman" w:cs="Times New Roman"/>
          <w:bCs/>
          <w:iCs/>
          <w:sz w:val="24"/>
          <w:szCs w:val="24"/>
        </w:rPr>
        <w:t xml:space="preserve">строительства и </w:t>
      </w:r>
      <w:proofErr w:type="gramStart"/>
      <w:r w:rsidRPr="00891F3D">
        <w:rPr>
          <w:rFonts w:ascii="Times New Roman" w:hAnsi="Times New Roman" w:cs="Times New Roman"/>
          <w:bCs/>
          <w:iCs/>
          <w:sz w:val="24"/>
          <w:szCs w:val="24"/>
        </w:rPr>
        <w:t>реконструкции</w:t>
      </w:r>
      <w:proofErr w:type="gramEnd"/>
      <w:r w:rsidRPr="00891F3D">
        <w:rPr>
          <w:rFonts w:ascii="Times New Roman" w:hAnsi="Times New Roman" w:cs="Times New Roman"/>
          <w:bCs/>
          <w:iCs/>
          <w:sz w:val="24"/>
          <w:szCs w:val="24"/>
        </w:rPr>
        <w:t xml:space="preserve"> автомобильных дорог общего пользования регионального или межмуниципального значения и сооружений на них. </w:t>
      </w:r>
    </w:p>
    <w:p w:rsidR="00891F3D" w:rsidRPr="00891F3D" w:rsidRDefault="00891F3D" w:rsidP="00891F3D">
      <w:pPr>
        <w:spacing w:after="0" w:line="240" w:lineRule="auto"/>
        <w:ind w:left="284" w:firstLine="424"/>
        <w:jc w:val="both"/>
        <w:rPr>
          <w:rFonts w:ascii="Times New Roman" w:hAnsi="Times New Roman" w:cs="Times New Roman"/>
          <w:sz w:val="24"/>
          <w:szCs w:val="24"/>
        </w:rPr>
      </w:pPr>
      <w:r w:rsidRPr="00891F3D">
        <w:rPr>
          <w:rFonts w:ascii="Times New Roman" w:hAnsi="Times New Roman" w:cs="Times New Roman"/>
          <w:sz w:val="24"/>
          <w:szCs w:val="24"/>
        </w:rPr>
        <w:t xml:space="preserve">Контрольно-счетная палата области отмечает, что в 2013 году по двум объектам капитального строительства государственной собственности области (Хирургический корпус ОГУЗ «Амурская областная детская клиническая больница», Малоэтажное быстровозводимое жилье, </w:t>
      </w:r>
      <w:proofErr w:type="spellStart"/>
      <w:r w:rsidRPr="00891F3D">
        <w:rPr>
          <w:rFonts w:ascii="Times New Roman" w:hAnsi="Times New Roman" w:cs="Times New Roman"/>
          <w:sz w:val="24"/>
          <w:szCs w:val="24"/>
        </w:rPr>
        <w:t>г</w:t>
      </w:r>
      <w:proofErr w:type="gramStart"/>
      <w:r w:rsidRPr="00891F3D">
        <w:rPr>
          <w:rFonts w:ascii="Times New Roman" w:hAnsi="Times New Roman" w:cs="Times New Roman"/>
          <w:sz w:val="24"/>
          <w:szCs w:val="24"/>
        </w:rPr>
        <w:t>.Т</w:t>
      </w:r>
      <w:proofErr w:type="gramEnd"/>
      <w:r w:rsidRPr="00891F3D">
        <w:rPr>
          <w:rFonts w:ascii="Times New Roman" w:hAnsi="Times New Roman" w:cs="Times New Roman"/>
          <w:sz w:val="24"/>
          <w:szCs w:val="24"/>
        </w:rPr>
        <w:t>ында</w:t>
      </w:r>
      <w:proofErr w:type="spellEnd"/>
      <w:r w:rsidRPr="00891F3D">
        <w:rPr>
          <w:rFonts w:ascii="Times New Roman" w:hAnsi="Times New Roman" w:cs="Times New Roman"/>
          <w:sz w:val="24"/>
          <w:szCs w:val="24"/>
        </w:rPr>
        <w:t xml:space="preserve">, мкр. </w:t>
      </w:r>
      <w:proofErr w:type="gramStart"/>
      <w:r w:rsidRPr="00891F3D">
        <w:rPr>
          <w:rFonts w:ascii="Times New Roman" w:hAnsi="Times New Roman" w:cs="Times New Roman"/>
          <w:sz w:val="24"/>
          <w:szCs w:val="24"/>
        </w:rPr>
        <w:t>Таежный), условия соглашений, заключенных с федеральными органами власти, в части установленного уровня софинансирования объектов за счет областного бюджета не обеспечены.</w:t>
      </w:r>
      <w:proofErr w:type="gramEnd"/>
      <w:r w:rsidRPr="00891F3D">
        <w:rPr>
          <w:rFonts w:ascii="Times New Roman" w:hAnsi="Times New Roman" w:cs="Times New Roman"/>
          <w:sz w:val="24"/>
          <w:szCs w:val="24"/>
        </w:rPr>
        <w:t xml:space="preserve"> Несоблюдение условий софинансирования является основанием для приостановления или прекращения перечисления субсидии. </w:t>
      </w:r>
    </w:p>
    <w:p w:rsidR="00891F3D" w:rsidRPr="00891F3D" w:rsidRDefault="00891F3D" w:rsidP="00891F3D">
      <w:pPr>
        <w:pStyle w:val="ConsPlusCell"/>
        <w:ind w:left="284" w:firstLine="424"/>
        <w:jc w:val="both"/>
        <w:rPr>
          <w:rFonts w:ascii="Times New Roman" w:hAnsi="Times New Roman" w:cs="Times New Roman"/>
          <w:sz w:val="24"/>
          <w:szCs w:val="24"/>
        </w:rPr>
      </w:pPr>
      <w:r w:rsidRPr="00891F3D">
        <w:rPr>
          <w:rFonts w:ascii="Times New Roman" w:hAnsi="Times New Roman" w:cs="Times New Roman"/>
          <w:sz w:val="24"/>
          <w:szCs w:val="24"/>
        </w:rPr>
        <w:t xml:space="preserve">Анализ показал, что продолжают иметь место факты низкого освоения предусмотренных в качестве бюджетных инвестиций средств федерального и областного бюджетов. Так, освоение средств по объекту «Хирургический корпус областного государственного учреждения здравоохранения «Амурская областная детская клиническая больница» в 2013 году составило 56,5 процента, по объектам «Малоэтажного быстровозводимого жилья, </w:t>
      </w:r>
      <w:proofErr w:type="spellStart"/>
      <w:r w:rsidRPr="00891F3D">
        <w:rPr>
          <w:rFonts w:ascii="Times New Roman" w:hAnsi="Times New Roman" w:cs="Times New Roman"/>
          <w:sz w:val="24"/>
          <w:szCs w:val="24"/>
        </w:rPr>
        <w:t>г</w:t>
      </w:r>
      <w:proofErr w:type="gramStart"/>
      <w:r w:rsidRPr="00891F3D">
        <w:rPr>
          <w:rFonts w:ascii="Times New Roman" w:hAnsi="Times New Roman" w:cs="Times New Roman"/>
          <w:sz w:val="24"/>
          <w:szCs w:val="24"/>
        </w:rPr>
        <w:t>.Т</w:t>
      </w:r>
      <w:proofErr w:type="gramEnd"/>
      <w:r w:rsidRPr="00891F3D">
        <w:rPr>
          <w:rFonts w:ascii="Times New Roman" w:hAnsi="Times New Roman" w:cs="Times New Roman"/>
          <w:sz w:val="24"/>
          <w:szCs w:val="24"/>
        </w:rPr>
        <w:t>ында</w:t>
      </w:r>
      <w:proofErr w:type="spellEnd"/>
      <w:r w:rsidRPr="00891F3D">
        <w:rPr>
          <w:rFonts w:ascii="Times New Roman" w:hAnsi="Times New Roman" w:cs="Times New Roman"/>
          <w:sz w:val="24"/>
          <w:szCs w:val="24"/>
        </w:rPr>
        <w:t xml:space="preserve">, мкр. </w:t>
      </w:r>
      <w:proofErr w:type="gramStart"/>
      <w:r w:rsidRPr="00891F3D">
        <w:rPr>
          <w:rFonts w:ascii="Times New Roman" w:hAnsi="Times New Roman" w:cs="Times New Roman"/>
          <w:sz w:val="24"/>
          <w:szCs w:val="24"/>
        </w:rPr>
        <w:t>Таежный</w:t>
      </w:r>
      <w:proofErr w:type="gramEnd"/>
      <w:r w:rsidRPr="00891F3D">
        <w:rPr>
          <w:rFonts w:ascii="Times New Roman" w:hAnsi="Times New Roman" w:cs="Times New Roman"/>
          <w:sz w:val="24"/>
          <w:szCs w:val="24"/>
        </w:rPr>
        <w:t xml:space="preserve">» составило 61,9 процента. Причиной низкого освоения средств явилось невыполнение подрядчиками условий государственных контрактов в части сроков работ. </w:t>
      </w:r>
    </w:p>
    <w:p w:rsidR="00891F3D" w:rsidRPr="00891F3D" w:rsidRDefault="00891F3D" w:rsidP="00891F3D">
      <w:pPr>
        <w:spacing w:after="0" w:line="240" w:lineRule="auto"/>
        <w:ind w:left="284" w:firstLine="424"/>
        <w:jc w:val="both"/>
        <w:rPr>
          <w:rFonts w:ascii="Times New Roman" w:hAnsi="Times New Roman" w:cs="Times New Roman"/>
          <w:sz w:val="24"/>
          <w:szCs w:val="24"/>
        </w:rPr>
      </w:pPr>
      <w:r w:rsidRPr="00891F3D">
        <w:rPr>
          <w:rFonts w:ascii="Times New Roman" w:hAnsi="Times New Roman" w:cs="Times New Roman"/>
          <w:sz w:val="24"/>
          <w:szCs w:val="24"/>
        </w:rPr>
        <w:lastRenderedPageBreak/>
        <w:t>В 2013 году произведено списание затрат по разработанной в 2001-2008 годах проектно-сметной документации по 14 объектам (18</w:t>
      </w:r>
      <w:r w:rsidR="00786B04">
        <w:rPr>
          <w:rFonts w:ascii="Times New Roman" w:hAnsi="Times New Roman" w:cs="Times New Roman"/>
          <w:sz w:val="24"/>
          <w:szCs w:val="24"/>
        </w:rPr>
        <w:t>,</w:t>
      </w:r>
      <w:r w:rsidRPr="00891F3D">
        <w:rPr>
          <w:rFonts w:ascii="Times New Roman" w:hAnsi="Times New Roman" w:cs="Times New Roman"/>
          <w:sz w:val="24"/>
          <w:szCs w:val="24"/>
        </w:rPr>
        <w:t>2</w:t>
      </w:r>
      <w:r w:rsidR="00786B04">
        <w:rPr>
          <w:rFonts w:ascii="Times New Roman" w:hAnsi="Times New Roman" w:cs="Times New Roman"/>
          <w:sz w:val="24"/>
          <w:szCs w:val="24"/>
        </w:rPr>
        <w:t xml:space="preserve"> млн</w:t>
      </w:r>
      <w:r w:rsidRPr="00891F3D">
        <w:rPr>
          <w:rFonts w:ascii="Times New Roman" w:hAnsi="Times New Roman" w:cs="Times New Roman"/>
          <w:sz w:val="24"/>
          <w:szCs w:val="24"/>
        </w:rPr>
        <w:t>. рублей). Причиной списания стала невозможность использования проектно-сметной документации, утрата актуальности проектно-сметной документации, сопоставимость затрат на приведение ее в соответствие к действующим требованиям затратам на разработку новой документации.</w:t>
      </w:r>
    </w:p>
    <w:p w:rsidR="00891F3D" w:rsidRPr="00891F3D" w:rsidRDefault="00891F3D" w:rsidP="00891F3D">
      <w:pPr>
        <w:spacing w:after="0" w:line="240" w:lineRule="auto"/>
        <w:ind w:left="284" w:firstLine="424"/>
        <w:jc w:val="both"/>
        <w:outlineLvl w:val="1"/>
        <w:rPr>
          <w:rFonts w:ascii="Times New Roman" w:hAnsi="Times New Roman" w:cs="Times New Roman"/>
          <w:sz w:val="24"/>
          <w:szCs w:val="24"/>
        </w:rPr>
      </w:pPr>
      <w:proofErr w:type="gramStart"/>
      <w:r>
        <w:rPr>
          <w:rFonts w:ascii="Times New Roman" w:hAnsi="Times New Roman" w:cs="Times New Roman"/>
          <w:sz w:val="24"/>
          <w:szCs w:val="24"/>
        </w:rPr>
        <w:t>Контрольно-счетная палата области о</w:t>
      </w:r>
      <w:r w:rsidRPr="00891F3D">
        <w:rPr>
          <w:rFonts w:ascii="Times New Roman" w:hAnsi="Times New Roman" w:cs="Times New Roman"/>
          <w:sz w:val="24"/>
          <w:szCs w:val="24"/>
        </w:rPr>
        <w:t>тмечае</w:t>
      </w:r>
      <w:r>
        <w:rPr>
          <w:rFonts w:ascii="Times New Roman" w:hAnsi="Times New Roman" w:cs="Times New Roman"/>
          <w:sz w:val="24"/>
          <w:szCs w:val="24"/>
        </w:rPr>
        <w:t>т</w:t>
      </w:r>
      <w:r w:rsidRPr="00891F3D">
        <w:rPr>
          <w:rFonts w:ascii="Times New Roman" w:hAnsi="Times New Roman" w:cs="Times New Roman"/>
          <w:sz w:val="24"/>
          <w:szCs w:val="24"/>
        </w:rPr>
        <w:t>, что продолжают сохраняться риски неэффективного расходования средств областного бюджета, связанные с тем, что проектно-сметная документация еще по 45 объектам, расходы на подготовку которой составили 60</w:t>
      </w:r>
      <w:r w:rsidR="00786B04">
        <w:rPr>
          <w:rFonts w:ascii="Times New Roman" w:hAnsi="Times New Roman" w:cs="Times New Roman"/>
          <w:sz w:val="24"/>
          <w:szCs w:val="24"/>
        </w:rPr>
        <w:t>,</w:t>
      </w:r>
      <w:r w:rsidRPr="00891F3D">
        <w:rPr>
          <w:rFonts w:ascii="Times New Roman" w:hAnsi="Times New Roman" w:cs="Times New Roman"/>
          <w:sz w:val="24"/>
          <w:szCs w:val="24"/>
        </w:rPr>
        <w:t>5</w:t>
      </w:r>
      <w:r w:rsidR="00786B04">
        <w:rPr>
          <w:rFonts w:ascii="Times New Roman" w:hAnsi="Times New Roman" w:cs="Times New Roman"/>
          <w:sz w:val="24"/>
          <w:szCs w:val="24"/>
        </w:rPr>
        <w:t xml:space="preserve"> млн</w:t>
      </w:r>
      <w:r w:rsidRPr="00891F3D">
        <w:rPr>
          <w:rFonts w:ascii="Times New Roman" w:hAnsi="Times New Roman" w:cs="Times New Roman"/>
          <w:sz w:val="24"/>
          <w:szCs w:val="24"/>
        </w:rPr>
        <w:t>. рублей</w:t>
      </w:r>
      <w:r>
        <w:rPr>
          <w:rFonts w:ascii="Times New Roman" w:hAnsi="Times New Roman" w:cs="Times New Roman"/>
          <w:sz w:val="24"/>
          <w:szCs w:val="24"/>
        </w:rPr>
        <w:t>,</w:t>
      </w:r>
      <w:r w:rsidRPr="00891F3D">
        <w:rPr>
          <w:rFonts w:ascii="Times New Roman" w:hAnsi="Times New Roman" w:cs="Times New Roman"/>
          <w:sz w:val="24"/>
          <w:szCs w:val="24"/>
        </w:rPr>
        <w:t xml:space="preserve"> не востребована в связи с отсутствием в областном бюджете на 2014 год и плановый период 2015 и 2016 годов средств на строительство объектов, что не позволяет обеспечить соблюдение принципа</w:t>
      </w:r>
      <w:proofErr w:type="gramEnd"/>
      <w:r w:rsidRPr="00891F3D">
        <w:rPr>
          <w:rFonts w:ascii="Times New Roman" w:hAnsi="Times New Roman" w:cs="Times New Roman"/>
          <w:sz w:val="24"/>
          <w:szCs w:val="24"/>
        </w:rPr>
        <w:t xml:space="preserve"> эффективности использования бюджетных средств.</w:t>
      </w:r>
    </w:p>
    <w:p w:rsidR="00FB4AE9" w:rsidRDefault="00FB4AE9" w:rsidP="00FB4AE9">
      <w:pPr>
        <w:widowControl w:val="0"/>
        <w:autoSpaceDE w:val="0"/>
        <w:autoSpaceDN w:val="0"/>
        <w:adjustRightInd w:val="0"/>
        <w:spacing w:after="0"/>
        <w:jc w:val="center"/>
        <w:rPr>
          <w:rFonts w:ascii="Times New Roman" w:eastAsia="Times New Roman" w:hAnsi="Times New Roman" w:cs="Times New Roman"/>
          <w:b/>
          <w:iCs/>
          <w:spacing w:val="-3"/>
          <w:sz w:val="24"/>
          <w:szCs w:val="20"/>
          <w:lang w:eastAsia="ru-RU"/>
        </w:rPr>
      </w:pPr>
      <w:r>
        <w:rPr>
          <w:rFonts w:ascii="Times New Roman" w:eastAsia="Times New Roman" w:hAnsi="Times New Roman" w:cs="Times New Roman"/>
          <w:b/>
          <w:iCs/>
          <w:spacing w:val="-3"/>
          <w:sz w:val="24"/>
          <w:szCs w:val="20"/>
          <w:lang w:eastAsia="ru-RU"/>
        </w:rPr>
        <w:t>9</w:t>
      </w:r>
      <w:r w:rsidRPr="006920AD">
        <w:rPr>
          <w:rFonts w:ascii="Times New Roman" w:eastAsia="Times New Roman" w:hAnsi="Times New Roman" w:cs="Times New Roman"/>
          <w:b/>
          <w:iCs/>
          <w:spacing w:val="-3"/>
          <w:sz w:val="24"/>
          <w:szCs w:val="20"/>
          <w:lang w:eastAsia="ru-RU"/>
        </w:rPr>
        <w:t>. Анализ состояния государственного долга Амурской области за 201</w:t>
      </w:r>
      <w:r>
        <w:rPr>
          <w:rFonts w:ascii="Times New Roman" w:eastAsia="Times New Roman" w:hAnsi="Times New Roman" w:cs="Times New Roman"/>
          <w:b/>
          <w:iCs/>
          <w:spacing w:val="-3"/>
          <w:sz w:val="24"/>
          <w:szCs w:val="20"/>
          <w:lang w:eastAsia="ru-RU"/>
        </w:rPr>
        <w:t>3</w:t>
      </w:r>
      <w:r w:rsidRPr="006920AD">
        <w:rPr>
          <w:rFonts w:ascii="Times New Roman" w:eastAsia="Times New Roman" w:hAnsi="Times New Roman" w:cs="Times New Roman"/>
          <w:b/>
          <w:iCs/>
          <w:spacing w:val="-3"/>
          <w:sz w:val="24"/>
          <w:szCs w:val="20"/>
          <w:lang w:eastAsia="ru-RU"/>
        </w:rPr>
        <w:t xml:space="preserve"> год</w:t>
      </w:r>
    </w:p>
    <w:p w:rsidR="00C75822" w:rsidRPr="00A908B1" w:rsidRDefault="00C75822" w:rsidP="00A908B1">
      <w:pPr>
        <w:spacing w:after="0" w:line="240" w:lineRule="auto"/>
        <w:ind w:firstLine="708"/>
        <w:jc w:val="both"/>
        <w:rPr>
          <w:rFonts w:ascii="Times New Roman" w:hAnsi="Times New Roman" w:cs="Times New Roman"/>
          <w:sz w:val="24"/>
          <w:szCs w:val="24"/>
        </w:rPr>
      </w:pPr>
      <w:r w:rsidRPr="00A908B1">
        <w:rPr>
          <w:rFonts w:ascii="Times New Roman" w:hAnsi="Times New Roman" w:cs="Times New Roman"/>
          <w:iCs/>
          <w:spacing w:val="-3"/>
          <w:sz w:val="24"/>
          <w:szCs w:val="24"/>
        </w:rPr>
        <w:t xml:space="preserve">Объем государственного долга Амурской области на 1 января 2014 года согласно данным государственной долговой книги Амурской области составил 22815,8 млн. рублей, или увеличился </w:t>
      </w:r>
      <w:r w:rsidRPr="00A908B1">
        <w:rPr>
          <w:rFonts w:ascii="Times New Roman" w:hAnsi="Times New Roman" w:cs="Times New Roman"/>
          <w:sz w:val="24"/>
          <w:szCs w:val="24"/>
        </w:rPr>
        <w:t>по сравнению с 2012 годом на 7</w:t>
      </w:r>
      <w:r w:rsidR="00FF13B7">
        <w:rPr>
          <w:rFonts w:ascii="Times New Roman" w:hAnsi="Times New Roman" w:cs="Times New Roman"/>
          <w:sz w:val="24"/>
          <w:szCs w:val="24"/>
        </w:rPr>
        <w:t>757,4 млн. рублей (в 1,5 раза).</w:t>
      </w:r>
    </w:p>
    <w:p w:rsidR="00C75822" w:rsidRPr="00FF13B7" w:rsidRDefault="00C75822" w:rsidP="00A908B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908B1">
        <w:rPr>
          <w:rFonts w:ascii="Times New Roman" w:eastAsia="Times New Roman" w:hAnsi="Times New Roman" w:cs="Times New Roman"/>
          <w:sz w:val="24"/>
          <w:szCs w:val="24"/>
          <w:lang w:eastAsia="ru-RU"/>
        </w:rPr>
        <w:t>На протяжении анализируемого периода в</w:t>
      </w:r>
      <w:r w:rsidRPr="00A908B1">
        <w:rPr>
          <w:rFonts w:ascii="Times New Roman" w:hAnsi="Times New Roman" w:cs="Times New Roman"/>
          <w:sz w:val="24"/>
          <w:szCs w:val="24"/>
        </w:rPr>
        <w:t xml:space="preserve"> структуре государственного долга области преобладают обязательства по кредитам коммерческих банков.</w:t>
      </w:r>
    </w:p>
    <w:p w:rsidR="00C75822" w:rsidRPr="00A908B1" w:rsidRDefault="00C75822" w:rsidP="00A908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8B1">
        <w:rPr>
          <w:rFonts w:ascii="Times New Roman" w:eastAsia="Times New Roman" w:hAnsi="Times New Roman" w:cs="Times New Roman"/>
          <w:sz w:val="24"/>
          <w:szCs w:val="24"/>
          <w:lang w:eastAsia="ru-RU"/>
        </w:rPr>
        <w:t xml:space="preserve">Начиная с 2009 года, наблюдается значительный рост объема государственного долга Амурской области. </w:t>
      </w:r>
    </w:p>
    <w:p w:rsidR="00C75822" w:rsidRPr="00FF13B7" w:rsidRDefault="00C75822" w:rsidP="00A908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08B1">
        <w:rPr>
          <w:rFonts w:ascii="Times New Roman" w:eastAsia="Times New Roman" w:hAnsi="Times New Roman" w:cs="Times New Roman"/>
          <w:sz w:val="24"/>
          <w:szCs w:val="24"/>
          <w:lang w:eastAsia="ru-RU"/>
        </w:rPr>
        <w:t xml:space="preserve">Динамика объема государственного долга Амурской области в разрезе видов долговых обязательств за 2008-2013 годы представлена на </w:t>
      </w:r>
      <w:r w:rsidR="00B66C33">
        <w:rPr>
          <w:rFonts w:ascii="Times New Roman" w:eastAsia="Times New Roman" w:hAnsi="Times New Roman" w:cs="Times New Roman"/>
          <w:sz w:val="24"/>
          <w:szCs w:val="24"/>
          <w:lang w:eastAsia="ru-RU"/>
        </w:rPr>
        <w:t xml:space="preserve">рисунке </w:t>
      </w:r>
      <w:r w:rsidR="00B66C33" w:rsidRPr="00FF13B7">
        <w:rPr>
          <w:rFonts w:ascii="Times New Roman" w:eastAsia="Times New Roman" w:hAnsi="Times New Roman" w:cs="Times New Roman"/>
          <w:color w:val="000000" w:themeColor="text1"/>
          <w:sz w:val="24"/>
          <w:szCs w:val="24"/>
          <w:lang w:eastAsia="ru-RU"/>
        </w:rPr>
        <w:t>20</w:t>
      </w:r>
      <w:r w:rsidRPr="00FF13B7">
        <w:rPr>
          <w:rFonts w:ascii="Times New Roman" w:eastAsia="Times New Roman" w:hAnsi="Times New Roman" w:cs="Times New Roman"/>
          <w:color w:val="000000" w:themeColor="text1"/>
          <w:sz w:val="24"/>
          <w:szCs w:val="24"/>
          <w:lang w:eastAsia="ru-RU"/>
        </w:rPr>
        <w:t>.</w:t>
      </w:r>
    </w:p>
    <w:p w:rsidR="00C75822" w:rsidRPr="006920AD" w:rsidRDefault="00C75822" w:rsidP="00FF13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20AD">
        <w:rPr>
          <w:rFonts w:ascii="Times New Roman" w:eastAsia="Times New Roman" w:hAnsi="Times New Roman" w:cs="Times New Roman"/>
          <w:noProof/>
          <w:sz w:val="20"/>
          <w:szCs w:val="20"/>
          <w:lang w:eastAsia="ru-RU"/>
        </w:rPr>
        <w:drawing>
          <wp:inline distT="0" distB="0" distL="0" distR="0" wp14:anchorId="560FA338" wp14:editId="30F58A17">
            <wp:extent cx="6119495" cy="3144219"/>
            <wp:effectExtent l="0" t="0" r="0" b="0"/>
            <wp:docPr id="52"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75822" w:rsidRPr="006920AD" w:rsidRDefault="00C75822" w:rsidP="00C7582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66C33">
        <w:rPr>
          <w:rFonts w:ascii="Times New Roman" w:eastAsia="Times New Roman" w:hAnsi="Times New Roman" w:cs="Times New Roman"/>
          <w:b/>
          <w:sz w:val="24"/>
          <w:szCs w:val="24"/>
          <w:lang w:eastAsia="ru-RU"/>
        </w:rPr>
        <w:t xml:space="preserve">Рис. </w:t>
      </w:r>
      <w:r w:rsidR="00B66C33" w:rsidRPr="00B66C33">
        <w:rPr>
          <w:rFonts w:ascii="Times New Roman" w:eastAsia="Times New Roman" w:hAnsi="Times New Roman" w:cs="Times New Roman"/>
          <w:b/>
          <w:sz w:val="24"/>
          <w:szCs w:val="24"/>
          <w:lang w:eastAsia="ru-RU"/>
        </w:rPr>
        <w:t>20</w:t>
      </w:r>
      <w:r w:rsidR="00B66C33">
        <w:rPr>
          <w:rFonts w:ascii="Times New Roman" w:eastAsia="Times New Roman" w:hAnsi="Times New Roman" w:cs="Times New Roman"/>
          <w:b/>
          <w:color w:val="FF0000"/>
          <w:sz w:val="24"/>
          <w:szCs w:val="24"/>
          <w:lang w:eastAsia="ru-RU"/>
        </w:rPr>
        <w:t xml:space="preserve"> </w:t>
      </w:r>
      <w:r w:rsidRPr="00B66C33">
        <w:rPr>
          <w:rFonts w:ascii="Times New Roman" w:eastAsia="Times New Roman" w:hAnsi="Times New Roman" w:cs="Times New Roman"/>
          <w:b/>
          <w:sz w:val="24"/>
          <w:szCs w:val="24"/>
          <w:lang w:eastAsia="ru-RU"/>
        </w:rPr>
        <w:t xml:space="preserve">- </w:t>
      </w:r>
      <w:r w:rsidRPr="00046914">
        <w:rPr>
          <w:rFonts w:ascii="Times New Roman" w:eastAsia="Times New Roman" w:hAnsi="Times New Roman" w:cs="Times New Roman"/>
          <w:b/>
          <w:sz w:val="24"/>
          <w:szCs w:val="24"/>
          <w:lang w:eastAsia="ru-RU"/>
        </w:rPr>
        <w:t xml:space="preserve">Динамика </w:t>
      </w:r>
      <w:r w:rsidRPr="006920AD">
        <w:rPr>
          <w:rFonts w:ascii="Times New Roman" w:eastAsia="Times New Roman" w:hAnsi="Times New Roman" w:cs="Times New Roman"/>
          <w:b/>
          <w:sz w:val="24"/>
          <w:szCs w:val="24"/>
          <w:lang w:eastAsia="ru-RU"/>
        </w:rPr>
        <w:t>государственного долга Амурской области</w:t>
      </w:r>
    </w:p>
    <w:p w:rsidR="00C75822" w:rsidRPr="006920AD" w:rsidRDefault="00C75822" w:rsidP="00C758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20AD">
        <w:rPr>
          <w:rFonts w:ascii="Times New Roman" w:eastAsia="Times New Roman" w:hAnsi="Times New Roman" w:cs="Times New Roman"/>
          <w:b/>
          <w:sz w:val="24"/>
          <w:szCs w:val="24"/>
          <w:lang w:eastAsia="ru-RU"/>
        </w:rPr>
        <w:t>за 200</w:t>
      </w:r>
      <w:r>
        <w:rPr>
          <w:rFonts w:ascii="Times New Roman" w:eastAsia="Times New Roman" w:hAnsi="Times New Roman" w:cs="Times New Roman"/>
          <w:b/>
          <w:sz w:val="24"/>
          <w:szCs w:val="24"/>
          <w:lang w:eastAsia="ru-RU"/>
        </w:rPr>
        <w:t>8</w:t>
      </w:r>
      <w:r w:rsidRPr="006920AD">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3</w:t>
      </w:r>
      <w:r w:rsidRPr="006920AD">
        <w:rPr>
          <w:rFonts w:ascii="Times New Roman" w:eastAsia="Times New Roman" w:hAnsi="Times New Roman" w:cs="Times New Roman"/>
          <w:b/>
          <w:sz w:val="24"/>
          <w:szCs w:val="24"/>
          <w:lang w:eastAsia="ru-RU"/>
        </w:rPr>
        <w:t xml:space="preserve"> годы</w:t>
      </w:r>
      <w:r>
        <w:rPr>
          <w:rFonts w:ascii="Times New Roman" w:eastAsia="Times New Roman" w:hAnsi="Times New Roman" w:cs="Times New Roman"/>
          <w:b/>
          <w:sz w:val="24"/>
          <w:szCs w:val="24"/>
          <w:lang w:eastAsia="ru-RU"/>
        </w:rPr>
        <w:t>, млн. руб.</w:t>
      </w:r>
    </w:p>
    <w:p w:rsidR="00C75822" w:rsidRPr="003B6B25" w:rsidRDefault="00C75822" w:rsidP="00C758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75822" w:rsidRPr="00A908B1" w:rsidRDefault="00C75822" w:rsidP="00A908B1">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908B1">
        <w:rPr>
          <w:rFonts w:ascii="Times New Roman" w:hAnsi="Times New Roman" w:cs="Times New Roman"/>
          <w:sz w:val="24"/>
          <w:szCs w:val="24"/>
        </w:rPr>
        <w:t xml:space="preserve">Объем </w:t>
      </w:r>
      <w:r w:rsidRPr="00A908B1">
        <w:rPr>
          <w:rFonts w:ascii="Times New Roman" w:eastAsia="Times New Roman" w:hAnsi="Times New Roman" w:cs="Times New Roman"/>
          <w:snapToGrid w:val="0"/>
          <w:sz w:val="24"/>
          <w:szCs w:val="24"/>
          <w:lang w:eastAsia="ru-RU"/>
        </w:rPr>
        <w:t xml:space="preserve">расходов на обслуживание долга ежегодно растет </w:t>
      </w:r>
      <w:r w:rsidRPr="00A908B1">
        <w:rPr>
          <w:rFonts w:ascii="Times New Roman" w:eastAsia="Times New Roman" w:hAnsi="Times New Roman" w:cs="Times New Roman"/>
          <w:snapToGrid w:val="0"/>
          <w:sz w:val="24"/>
          <w:szCs w:val="24"/>
          <w:lang w:eastAsia="ru-RU"/>
        </w:rPr>
        <w:br/>
        <w:t xml:space="preserve">от 129,9 млн. рублей - 2008 год  до 1089,2 млн. рублей - 2013 год, что на  </w:t>
      </w:r>
      <w:r w:rsidRPr="00A908B1">
        <w:rPr>
          <w:rFonts w:ascii="Times New Roman" w:eastAsia="Times New Roman" w:hAnsi="Times New Roman" w:cs="Times New Roman"/>
          <w:snapToGrid w:val="0"/>
          <w:sz w:val="24"/>
          <w:szCs w:val="24"/>
          <w:lang w:eastAsia="ru-RU"/>
        </w:rPr>
        <w:br/>
      </w:r>
      <w:proofErr w:type="spellStart"/>
      <w:proofErr w:type="gramStart"/>
      <w:r w:rsidRPr="00A908B1">
        <w:rPr>
          <w:rFonts w:ascii="Times New Roman" w:eastAsia="Times New Roman" w:hAnsi="Times New Roman" w:cs="Times New Roman"/>
          <w:snapToGrid w:val="0"/>
          <w:sz w:val="24"/>
          <w:szCs w:val="24"/>
          <w:lang w:eastAsia="ru-RU"/>
        </w:rPr>
        <w:t>на</w:t>
      </w:r>
      <w:proofErr w:type="spellEnd"/>
      <w:proofErr w:type="gramEnd"/>
      <w:r w:rsidRPr="00A908B1">
        <w:rPr>
          <w:rFonts w:ascii="Times New Roman" w:eastAsia="Times New Roman" w:hAnsi="Times New Roman" w:cs="Times New Roman"/>
          <w:snapToGrid w:val="0"/>
          <w:sz w:val="24"/>
          <w:szCs w:val="24"/>
          <w:lang w:eastAsia="ru-RU"/>
        </w:rPr>
        <w:t xml:space="preserve"> 566,8 млн. рублей, или в 2,1 раза выше расходов  2012 года. </w:t>
      </w:r>
      <w:r w:rsidRPr="00A908B1">
        <w:rPr>
          <w:rFonts w:ascii="Times New Roman" w:hAnsi="Times New Roman" w:cs="Times New Roman"/>
          <w:color w:val="FF0000"/>
          <w:sz w:val="24"/>
          <w:szCs w:val="24"/>
        </w:rPr>
        <w:t xml:space="preserve"> </w:t>
      </w:r>
    </w:p>
    <w:p w:rsidR="00C75822" w:rsidRPr="00A85F20" w:rsidRDefault="00C75822" w:rsidP="00A908B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908B1">
        <w:rPr>
          <w:rFonts w:ascii="Times New Roman" w:eastAsia="Times New Roman" w:hAnsi="Times New Roman" w:cs="Times New Roman"/>
          <w:snapToGrid w:val="0"/>
          <w:sz w:val="24"/>
          <w:szCs w:val="24"/>
          <w:lang w:eastAsia="ru-RU"/>
        </w:rPr>
        <w:t xml:space="preserve">Показатели расходов на обслуживание государственного долга области представлены на </w:t>
      </w:r>
      <w:r w:rsidR="00A85F20">
        <w:rPr>
          <w:rFonts w:ascii="Times New Roman" w:eastAsia="Times New Roman" w:hAnsi="Times New Roman" w:cs="Times New Roman"/>
          <w:snapToGrid w:val="0"/>
          <w:sz w:val="24"/>
          <w:szCs w:val="24"/>
          <w:lang w:eastAsia="ru-RU"/>
        </w:rPr>
        <w:t>рисунке 21</w:t>
      </w:r>
      <w:r w:rsidRPr="00A85F20">
        <w:rPr>
          <w:rFonts w:ascii="Times New Roman" w:eastAsia="Times New Roman" w:hAnsi="Times New Roman" w:cs="Times New Roman"/>
          <w:snapToGrid w:val="0"/>
          <w:sz w:val="24"/>
          <w:szCs w:val="24"/>
          <w:lang w:eastAsia="ru-RU"/>
        </w:rPr>
        <w:t>.</w:t>
      </w:r>
    </w:p>
    <w:p w:rsidR="00C75822" w:rsidRPr="00FF13B7" w:rsidRDefault="00C75822" w:rsidP="00C75822">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napToGrid w:val="0"/>
          <w:color w:val="000000" w:themeColor="text1"/>
          <w:sz w:val="28"/>
          <w:szCs w:val="28"/>
          <w:lang w:eastAsia="ru-RU"/>
        </w:rPr>
      </w:pPr>
    </w:p>
    <w:p w:rsidR="00C75822" w:rsidRPr="00FF13B7" w:rsidRDefault="00C75822" w:rsidP="00FF13B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napToGrid w:val="0"/>
          <w:color w:val="000000" w:themeColor="text1"/>
          <w:sz w:val="28"/>
          <w:szCs w:val="28"/>
          <w:lang w:eastAsia="ru-RU"/>
        </w:rPr>
      </w:pPr>
      <w:r>
        <w:rPr>
          <w:noProof/>
          <w:lang w:eastAsia="ru-RU"/>
        </w:rPr>
        <w:lastRenderedPageBreak/>
        <w:drawing>
          <wp:inline distT="0" distB="0" distL="0" distR="0" wp14:anchorId="56BF59AA" wp14:editId="05DFA946">
            <wp:extent cx="6219825" cy="289560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B170F" w:rsidRPr="006920AD" w:rsidRDefault="000B170F" w:rsidP="000B170F">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snapToGrid w:val="0"/>
          <w:lang w:eastAsia="ru-RU"/>
        </w:rPr>
      </w:pPr>
      <w:r w:rsidRPr="00A85F20">
        <w:rPr>
          <w:rFonts w:ascii="Times New Roman" w:eastAsia="Times New Roman" w:hAnsi="Times New Roman" w:cs="Times New Roman"/>
          <w:b/>
          <w:snapToGrid w:val="0"/>
          <w:lang w:eastAsia="ru-RU"/>
        </w:rPr>
        <w:t xml:space="preserve">Рис. </w:t>
      </w:r>
      <w:r w:rsidR="00A85F20" w:rsidRPr="00A85F20">
        <w:rPr>
          <w:rFonts w:ascii="Times New Roman" w:eastAsia="Times New Roman" w:hAnsi="Times New Roman" w:cs="Times New Roman"/>
          <w:b/>
          <w:snapToGrid w:val="0"/>
          <w:lang w:eastAsia="ru-RU"/>
        </w:rPr>
        <w:t>21</w:t>
      </w:r>
      <w:r w:rsidRPr="00046914">
        <w:rPr>
          <w:rFonts w:ascii="Times New Roman" w:eastAsia="Times New Roman" w:hAnsi="Times New Roman" w:cs="Times New Roman"/>
          <w:b/>
          <w:snapToGrid w:val="0"/>
          <w:lang w:eastAsia="ru-RU"/>
        </w:rPr>
        <w:t xml:space="preserve">– </w:t>
      </w:r>
      <w:r w:rsidRPr="006920AD">
        <w:rPr>
          <w:rFonts w:ascii="Times New Roman" w:eastAsia="Times New Roman" w:hAnsi="Times New Roman" w:cs="Times New Roman"/>
          <w:b/>
          <w:snapToGrid w:val="0"/>
          <w:lang w:eastAsia="ru-RU"/>
        </w:rPr>
        <w:t>Показатели расходов на обслуживание государственного долга Амурской области</w:t>
      </w:r>
    </w:p>
    <w:p w:rsidR="00C75822" w:rsidRDefault="00C75822" w:rsidP="00C75822">
      <w:pPr>
        <w:shd w:val="clear" w:color="auto" w:fill="FFFFFF"/>
        <w:spacing w:after="0" w:line="240" w:lineRule="auto"/>
        <w:ind w:firstLine="709"/>
        <w:jc w:val="both"/>
        <w:rPr>
          <w:rFonts w:ascii="Times New Roman" w:eastAsia="Times New Roman" w:hAnsi="Times New Roman" w:cs="Times New Roman"/>
          <w:b/>
          <w:snapToGrid w:val="0"/>
          <w:lang w:eastAsia="ru-RU"/>
        </w:rPr>
      </w:pPr>
    </w:p>
    <w:p w:rsidR="00FB4AE9" w:rsidRPr="00AB7465" w:rsidRDefault="00FB4AE9" w:rsidP="00FB4AE9">
      <w:pPr>
        <w:spacing w:after="0" w:line="240" w:lineRule="auto"/>
        <w:ind w:firstLine="708"/>
        <w:jc w:val="both"/>
        <w:rPr>
          <w:rFonts w:ascii="Times New Roman" w:hAnsi="Times New Roman" w:cs="Times New Roman"/>
          <w:b/>
          <w:i/>
          <w:sz w:val="24"/>
          <w:szCs w:val="24"/>
        </w:rPr>
      </w:pPr>
      <w:r w:rsidRPr="00BA20F9">
        <w:rPr>
          <w:rFonts w:ascii="Times New Roman" w:hAnsi="Times New Roman" w:cs="Times New Roman"/>
          <w:b/>
          <w:i/>
          <w:sz w:val="24"/>
          <w:szCs w:val="24"/>
        </w:rPr>
        <w:t>Проведенная в ходе проверки краткая оценка качества управления государственным долгом области за 2013 год показала, что в течение финансового года значительно увеличилась долговая нагрузка на областной бюджет. В с</w:t>
      </w:r>
      <w:r w:rsidR="000623A1" w:rsidRPr="00BA20F9">
        <w:rPr>
          <w:rFonts w:ascii="Times New Roman" w:hAnsi="Times New Roman" w:cs="Times New Roman"/>
          <w:b/>
          <w:i/>
          <w:sz w:val="24"/>
          <w:szCs w:val="24"/>
        </w:rPr>
        <w:t>труктуре государственного долга наибольшую долю занимают</w:t>
      </w:r>
      <w:r w:rsidRPr="00BA20F9">
        <w:rPr>
          <w:rFonts w:ascii="Times New Roman" w:hAnsi="Times New Roman" w:cs="Times New Roman"/>
          <w:b/>
          <w:i/>
          <w:sz w:val="24"/>
          <w:szCs w:val="24"/>
        </w:rPr>
        <w:t xml:space="preserve"> </w:t>
      </w:r>
      <w:r w:rsidR="00BA20F9" w:rsidRPr="00BA20F9">
        <w:rPr>
          <w:rFonts w:ascii="Times New Roman" w:hAnsi="Times New Roman" w:cs="Times New Roman"/>
          <w:b/>
          <w:i/>
          <w:sz w:val="24"/>
          <w:szCs w:val="24"/>
        </w:rPr>
        <w:t>средне</w:t>
      </w:r>
      <w:r w:rsidRPr="00BA20F9">
        <w:rPr>
          <w:rFonts w:ascii="Times New Roman" w:hAnsi="Times New Roman" w:cs="Times New Roman"/>
          <w:b/>
          <w:i/>
          <w:sz w:val="24"/>
          <w:szCs w:val="24"/>
        </w:rPr>
        <w:t xml:space="preserve">срочные обязательства. В 2013 году объем привлечения кредитов коммерческих банков вырос по сравнению </w:t>
      </w:r>
      <w:r w:rsidR="00BA20F9">
        <w:rPr>
          <w:rFonts w:ascii="Times New Roman" w:hAnsi="Times New Roman" w:cs="Times New Roman"/>
          <w:b/>
          <w:i/>
          <w:sz w:val="24"/>
          <w:szCs w:val="24"/>
        </w:rPr>
        <w:br/>
      </w:r>
      <w:r w:rsidRPr="00BA20F9">
        <w:rPr>
          <w:rFonts w:ascii="Times New Roman" w:hAnsi="Times New Roman" w:cs="Times New Roman"/>
          <w:b/>
          <w:i/>
          <w:sz w:val="24"/>
          <w:szCs w:val="24"/>
        </w:rPr>
        <w:t>с 2012 годом в 1,6 раза, что усиливает зависимость областного бюджета от привлеченных средств, а также создает риски для обеспечения</w:t>
      </w:r>
      <w:r w:rsidRPr="00AB7465">
        <w:rPr>
          <w:rFonts w:ascii="Times New Roman" w:hAnsi="Times New Roman" w:cs="Times New Roman"/>
          <w:b/>
          <w:i/>
          <w:sz w:val="24"/>
          <w:szCs w:val="24"/>
        </w:rPr>
        <w:t xml:space="preserve"> сбалан</w:t>
      </w:r>
      <w:r w:rsidR="00DE7347">
        <w:rPr>
          <w:rFonts w:ascii="Times New Roman" w:hAnsi="Times New Roman" w:cs="Times New Roman"/>
          <w:b/>
          <w:i/>
          <w:sz w:val="24"/>
          <w:szCs w:val="24"/>
        </w:rPr>
        <w:t>сированности областного бюджета</w:t>
      </w:r>
      <w:r w:rsidR="000623A1">
        <w:rPr>
          <w:rFonts w:ascii="Times New Roman" w:hAnsi="Times New Roman" w:cs="Times New Roman"/>
          <w:b/>
          <w:i/>
          <w:sz w:val="24"/>
          <w:szCs w:val="24"/>
        </w:rPr>
        <w:t xml:space="preserve"> следующих бюджетных циклов.</w:t>
      </w:r>
    </w:p>
    <w:p w:rsidR="00FB4AE9" w:rsidRPr="00AB7465" w:rsidRDefault="00FB4AE9" w:rsidP="00DE7347">
      <w:pPr>
        <w:spacing w:after="0" w:line="240" w:lineRule="auto"/>
        <w:ind w:firstLine="708"/>
        <w:jc w:val="both"/>
        <w:rPr>
          <w:rFonts w:ascii="Times New Roman" w:hAnsi="Times New Roman" w:cs="Times New Roman"/>
          <w:sz w:val="24"/>
          <w:szCs w:val="24"/>
        </w:rPr>
      </w:pPr>
      <w:r w:rsidRPr="00AB7465">
        <w:rPr>
          <w:rFonts w:ascii="Times New Roman" w:hAnsi="Times New Roman" w:cs="Times New Roman"/>
          <w:sz w:val="24"/>
          <w:szCs w:val="24"/>
        </w:rPr>
        <w:t>В целях повышения эффективности управления государственным долгом области постановлением Правительства Амурской области от 29.06.2011 № 433 (в редакции постановления Правительства Амурской области от 22.12.2011 № 936) утверждены методики расчета долговой нагрузки на бюджет с учетом действующих и планируемых к принятию долговых обязательств на среднесрочный период и расчета объема возможного привлечения новых долговых обязательств с учетом их влияния на долговую нагрузку бюджета Амурской области, которые применены при формировании областного бюджета на 2013 год и план</w:t>
      </w:r>
      <w:r w:rsidR="000623A1">
        <w:rPr>
          <w:rFonts w:ascii="Times New Roman" w:hAnsi="Times New Roman" w:cs="Times New Roman"/>
          <w:sz w:val="24"/>
          <w:szCs w:val="24"/>
        </w:rPr>
        <w:t>овый период 2014 и 2015 годов.</w:t>
      </w:r>
    </w:p>
    <w:p w:rsidR="00FB4AE9" w:rsidRPr="00A02C10" w:rsidRDefault="00DA7401" w:rsidP="00FB4AE9">
      <w:pPr>
        <w:pStyle w:val="ConsPlusNonformat"/>
        <w:ind w:firstLine="708"/>
        <w:jc w:val="both"/>
        <w:rPr>
          <w:rFonts w:ascii="Times New Roman" w:hAnsi="Times New Roman" w:cs="Times New Roman"/>
          <w:sz w:val="24"/>
          <w:szCs w:val="24"/>
        </w:rPr>
      </w:pPr>
      <w:r w:rsidRPr="00A02C10">
        <w:rPr>
          <w:rFonts w:ascii="Times New Roman" w:hAnsi="Times New Roman" w:cs="Times New Roman"/>
          <w:sz w:val="24"/>
          <w:szCs w:val="24"/>
        </w:rPr>
        <w:t>На основании проведенного министерством финансов Амурской области на этапе бюджетного планирования расчета долговой нагрузки на областной бюджет был сделан вывод о том, что долговая нагрузка для новых заимствований меньше долговой нагрузки областного бюджета, привлечение новых заимствований в 2013</w:t>
      </w:r>
      <w:r w:rsidR="00E15915" w:rsidRPr="00A02C10">
        <w:rPr>
          <w:rFonts w:ascii="Times New Roman" w:hAnsi="Times New Roman" w:cs="Times New Roman"/>
          <w:sz w:val="24"/>
          <w:szCs w:val="24"/>
        </w:rPr>
        <w:t xml:space="preserve"> году возможно.</w:t>
      </w:r>
    </w:p>
    <w:p w:rsidR="00FB4AE9" w:rsidRPr="00A02C10" w:rsidRDefault="00FB4AE9" w:rsidP="00FB4AE9">
      <w:pPr>
        <w:pStyle w:val="ConsPlusNonformat"/>
        <w:ind w:firstLine="708"/>
        <w:jc w:val="both"/>
        <w:rPr>
          <w:rFonts w:ascii="Times New Roman" w:hAnsi="Times New Roman" w:cs="Times New Roman"/>
          <w:b/>
          <w:i/>
          <w:sz w:val="24"/>
          <w:szCs w:val="24"/>
        </w:rPr>
      </w:pPr>
      <w:r w:rsidRPr="00A02C10">
        <w:rPr>
          <w:rFonts w:ascii="Times New Roman" w:hAnsi="Times New Roman" w:cs="Times New Roman"/>
          <w:b/>
          <w:i/>
          <w:sz w:val="24"/>
          <w:szCs w:val="24"/>
        </w:rPr>
        <w:t>При этом наблюдается сближение объемов долговой нагрузки для новых заимствований и доступной долговой нагрузки, что свидетельствует о снижении возможностей для п</w:t>
      </w:r>
      <w:r w:rsidR="00E15915" w:rsidRPr="00A02C10">
        <w:rPr>
          <w:rFonts w:ascii="Times New Roman" w:hAnsi="Times New Roman" w:cs="Times New Roman"/>
          <w:b/>
          <w:i/>
          <w:sz w:val="24"/>
          <w:szCs w:val="24"/>
        </w:rPr>
        <w:t>ривлечения новых заимствований.</w:t>
      </w:r>
    </w:p>
    <w:p w:rsidR="00FB4AE9" w:rsidRPr="00A02C10" w:rsidRDefault="00FB4AE9" w:rsidP="00FB4AE9">
      <w:pPr>
        <w:spacing w:after="0" w:line="240" w:lineRule="auto"/>
        <w:ind w:firstLine="708"/>
        <w:jc w:val="both"/>
        <w:rPr>
          <w:rFonts w:ascii="Times New Roman" w:hAnsi="Times New Roman" w:cs="Times New Roman"/>
          <w:b/>
          <w:i/>
          <w:sz w:val="24"/>
          <w:szCs w:val="24"/>
        </w:rPr>
      </w:pPr>
    </w:p>
    <w:p w:rsidR="00FB4AE9" w:rsidRPr="00A02C10" w:rsidRDefault="00FB4AE9" w:rsidP="00FB4AE9">
      <w:pPr>
        <w:widowControl w:val="0"/>
        <w:shd w:val="clear" w:color="auto" w:fill="FFFFFF"/>
        <w:tabs>
          <w:tab w:val="left" w:pos="0"/>
        </w:tabs>
        <w:autoSpaceDE w:val="0"/>
        <w:autoSpaceDN w:val="0"/>
        <w:adjustRightInd w:val="0"/>
        <w:spacing w:after="0"/>
        <w:ind w:firstLine="720"/>
        <w:jc w:val="center"/>
        <w:rPr>
          <w:rFonts w:ascii="Times New Roman" w:eastAsia="Times New Roman" w:hAnsi="Times New Roman" w:cs="Times New Roman"/>
          <w:b/>
          <w:sz w:val="24"/>
          <w:szCs w:val="24"/>
          <w:lang w:eastAsia="ru-RU"/>
        </w:rPr>
      </w:pPr>
      <w:r w:rsidRPr="00A02C10">
        <w:rPr>
          <w:rFonts w:ascii="Times New Roman" w:eastAsia="Times New Roman" w:hAnsi="Times New Roman" w:cs="Times New Roman"/>
          <w:b/>
          <w:sz w:val="24"/>
          <w:szCs w:val="24"/>
          <w:lang w:eastAsia="ru-RU"/>
        </w:rPr>
        <w:t>10. Анализ состояния муниципального долга Амурской области за 2013 год</w:t>
      </w:r>
    </w:p>
    <w:p w:rsidR="004A0DE2" w:rsidRPr="00A02C10" w:rsidRDefault="00FB4AE9" w:rsidP="004A0DE2">
      <w:pPr>
        <w:shd w:val="clear" w:color="auto" w:fill="FFFFFF"/>
        <w:tabs>
          <w:tab w:val="left" w:pos="0"/>
        </w:tabs>
        <w:spacing w:after="0" w:line="240" w:lineRule="auto"/>
        <w:ind w:firstLine="720"/>
        <w:jc w:val="both"/>
        <w:rPr>
          <w:rFonts w:ascii="Times New Roman" w:hAnsi="Times New Roman" w:cs="Times New Roman"/>
          <w:sz w:val="24"/>
          <w:szCs w:val="24"/>
        </w:rPr>
      </w:pPr>
      <w:r w:rsidRPr="00A02C10">
        <w:rPr>
          <w:rFonts w:ascii="Times New Roman" w:hAnsi="Times New Roman" w:cs="Times New Roman"/>
          <w:sz w:val="24"/>
          <w:szCs w:val="24"/>
        </w:rPr>
        <w:t>Объем долговых обязательств муниципальных образований перед областным бюджетом по состоянию на 01.01.2014 увеличился на 83</w:t>
      </w:r>
      <w:r w:rsidR="002A63D9">
        <w:rPr>
          <w:rFonts w:ascii="Times New Roman" w:hAnsi="Times New Roman" w:cs="Times New Roman"/>
          <w:sz w:val="24"/>
          <w:szCs w:val="24"/>
        </w:rPr>
        <w:t>,6 млн</w:t>
      </w:r>
      <w:r w:rsidRPr="00A02C10">
        <w:rPr>
          <w:rFonts w:ascii="Times New Roman" w:hAnsi="Times New Roman" w:cs="Times New Roman"/>
          <w:sz w:val="24"/>
          <w:szCs w:val="24"/>
        </w:rPr>
        <w:t>. рублей</w:t>
      </w:r>
      <w:r w:rsidR="002A63D9">
        <w:rPr>
          <w:rFonts w:ascii="Times New Roman" w:hAnsi="Times New Roman" w:cs="Times New Roman"/>
          <w:sz w:val="24"/>
          <w:szCs w:val="24"/>
        </w:rPr>
        <w:t xml:space="preserve"> по сравнению с 2012 годом</w:t>
      </w:r>
      <w:r w:rsidRPr="00A02C10">
        <w:rPr>
          <w:rFonts w:ascii="Times New Roman" w:hAnsi="Times New Roman" w:cs="Times New Roman"/>
          <w:sz w:val="24"/>
          <w:szCs w:val="24"/>
        </w:rPr>
        <w:t>, или 41,3 процента</w:t>
      </w:r>
      <w:r w:rsidR="004A0DE2" w:rsidRPr="00A02C10">
        <w:rPr>
          <w:rFonts w:ascii="Times New Roman" w:hAnsi="Times New Roman" w:cs="Times New Roman"/>
          <w:sz w:val="24"/>
          <w:szCs w:val="24"/>
        </w:rPr>
        <w:t xml:space="preserve">, </w:t>
      </w:r>
      <w:r w:rsidR="00DA7401" w:rsidRPr="00A02C10">
        <w:rPr>
          <w:rFonts w:ascii="Times New Roman" w:hAnsi="Times New Roman" w:cs="Times New Roman"/>
          <w:sz w:val="24"/>
          <w:szCs w:val="24"/>
        </w:rPr>
        <w:t>и составил</w:t>
      </w:r>
      <w:r w:rsidR="004A0DE2" w:rsidRPr="00A02C10">
        <w:rPr>
          <w:rFonts w:ascii="Times New Roman" w:hAnsi="Times New Roman" w:cs="Times New Roman"/>
          <w:sz w:val="24"/>
          <w:szCs w:val="24"/>
        </w:rPr>
        <w:t xml:space="preserve"> 286</w:t>
      </w:r>
      <w:r w:rsidR="002A63D9">
        <w:rPr>
          <w:rFonts w:ascii="Times New Roman" w:hAnsi="Times New Roman" w:cs="Times New Roman"/>
          <w:sz w:val="24"/>
          <w:szCs w:val="24"/>
        </w:rPr>
        <w:t>,0 млн</w:t>
      </w:r>
      <w:r w:rsidR="004A0DE2" w:rsidRPr="00A02C10">
        <w:rPr>
          <w:rFonts w:ascii="Times New Roman" w:hAnsi="Times New Roman" w:cs="Times New Roman"/>
          <w:sz w:val="24"/>
          <w:szCs w:val="24"/>
        </w:rPr>
        <w:t>. рублей, в том числе по бюджетным кредитам, предоставленным бюджетам муниципальных образований на частичное покрытие дефицита местных бюджетов -186</w:t>
      </w:r>
      <w:r w:rsidR="002A63D9">
        <w:rPr>
          <w:rFonts w:ascii="Times New Roman" w:hAnsi="Times New Roman" w:cs="Times New Roman"/>
          <w:sz w:val="24"/>
          <w:szCs w:val="24"/>
        </w:rPr>
        <w:t xml:space="preserve"> млн</w:t>
      </w:r>
      <w:r w:rsidR="004A0DE2" w:rsidRPr="00A02C10">
        <w:rPr>
          <w:rFonts w:ascii="Times New Roman" w:hAnsi="Times New Roman" w:cs="Times New Roman"/>
          <w:sz w:val="24"/>
          <w:szCs w:val="24"/>
        </w:rPr>
        <w:t xml:space="preserve">. рублей; по бюджетным кредитам, предоставленным бюджетам муниципальных образований </w:t>
      </w:r>
      <w:r w:rsidR="004A0DE2" w:rsidRPr="00A02C10">
        <w:rPr>
          <w:rFonts w:ascii="Times New Roman" w:hAnsi="Times New Roman" w:cs="Times New Roman"/>
          <w:sz w:val="24"/>
        </w:rPr>
        <w:t xml:space="preserve">для осуществления мероприятий, связанных с ликвидацией последствий стихийных бедствий – 100,0 </w:t>
      </w:r>
      <w:r w:rsidR="002A63D9">
        <w:rPr>
          <w:rFonts w:ascii="Times New Roman" w:hAnsi="Times New Roman" w:cs="Times New Roman"/>
          <w:sz w:val="24"/>
        </w:rPr>
        <w:t>млн</w:t>
      </w:r>
      <w:r w:rsidR="004A0DE2" w:rsidRPr="00A02C10">
        <w:rPr>
          <w:rFonts w:ascii="Times New Roman" w:hAnsi="Times New Roman" w:cs="Times New Roman"/>
          <w:sz w:val="24"/>
        </w:rPr>
        <w:t>. рублей.</w:t>
      </w:r>
    </w:p>
    <w:p w:rsidR="00FB4AE9" w:rsidRPr="00902768" w:rsidRDefault="00FB4AE9" w:rsidP="00FB4AE9">
      <w:pPr>
        <w:shd w:val="clear" w:color="auto" w:fill="FFFFFF"/>
        <w:spacing w:after="0" w:line="240" w:lineRule="auto"/>
        <w:ind w:left="7791" w:right="-284" w:firstLine="431"/>
        <w:jc w:val="center"/>
        <w:rPr>
          <w:rFonts w:ascii="Times New Roman" w:hAnsi="Times New Roman" w:cs="Times New Roman"/>
          <w:color w:val="0D0D0D"/>
          <w:spacing w:val="-6"/>
          <w:sz w:val="24"/>
          <w:szCs w:val="24"/>
        </w:rPr>
      </w:pPr>
    </w:p>
    <w:p w:rsidR="00FB4AE9" w:rsidRPr="007C4B63" w:rsidRDefault="00FB4AE9" w:rsidP="00FB4AE9">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color w:val="0D0D0D"/>
          <w:sz w:val="24"/>
        </w:rPr>
        <w:lastRenderedPageBreak/>
        <w:t>В</w:t>
      </w:r>
      <w:r w:rsidRPr="007C4B63">
        <w:rPr>
          <w:rFonts w:ascii="Times New Roman" w:hAnsi="Times New Roman" w:cs="Times New Roman"/>
          <w:color w:val="0D0D0D"/>
          <w:sz w:val="24"/>
        </w:rPr>
        <w:t xml:space="preserve"> 2013 году задолженность по рассроченным централизованным кредитам погашена в полном объеме в сумме 8,0 </w:t>
      </w:r>
      <w:r w:rsidR="002A63D9">
        <w:rPr>
          <w:rFonts w:ascii="Times New Roman" w:hAnsi="Times New Roman" w:cs="Times New Roman"/>
          <w:color w:val="0D0D0D"/>
          <w:sz w:val="24"/>
        </w:rPr>
        <w:t>млн</w:t>
      </w:r>
      <w:r w:rsidRPr="007C4B63">
        <w:rPr>
          <w:rFonts w:ascii="Times New Roman" w:hAnsi="Times New Roman" w:cs="Times New Roman"/>
          <w:color w:val="0D0D0D"/>
          <w:sz w:val="24"/>
        </w:rPr>
        <w:t>. рублей</w:t>
      </w:r>
      <w:r>
        <w:rPr>
          <w:rFonts w:ascii="Times New Roman" w:hAnsi="Times New Roman" w:cs="Times New Roman"/>
          <w:color w:val="0D0D0D"/>
          <w:sz w:val="24"/>
        </w:rPr>
        <w:t>,</w:t>
      </w:r>
      <w:r w:rsidRPr="007C4B63">
        <w:rPr>
          <w:rFonts w:ascii="Times New Roman" w:hAnsi="Times New Roman" w:cs="Times New Roman"/>
          <w:color w:val="0D0D0D"/>
          <w:sz w:val="24"/>
        </w:rPr>
        <w:t xml:space="preserve"> начислено процентов за пользование рассроченными централизованными кредитами 117,8 тыс. рублей, которые у</w:t>
      </w:r>
      <w:r w:rsidRPr="007C4B63">
        <w:rPr>
          <w:rFonts w:ascii="Times New Roman" w:hAnsi="Times New Roman" w:cs="Times New Roman"/>
          <w:sz w:val="24"/>
          <w:szCs w:val="24"/>
        </w:rPr>
        <w:t xml:space="preserve">плачены </w:t>
      </w:r>
      <w:r w:rsidR="00A02C10">
        <w:rPr>
          <w:rFonts w:ascii="Times New Roman" w:hAnsi="Times New Roman" w:cs="Times New Roman"/>
          <w:sz w:val="24"/>
          <w:szCs w:val="24"/>
        </w:rPr>
        <w:br/>
      </w:r>
      <w:r w:rsidRPr="007C4B63">
        <w:rPr>
          <w:rFonts w:ascii="Times New Roman" w:hAnsi="Times New Roman" w:cs="Times New Roman"/>
          <w:sz w:val="24"/>
          <w:szCs w:val="24"/>
        </w:rPr>
        <w:t>в 2</w:t>
      </w:r>
      <w:r w:rsidR="00A02C10">
        <w:rPr>
          <w:rFonts w:ascii="Times New Roman" w:hAnsi="Times New Roman" w:cs="Times New Roman"/>
          <w:sz w:val="24"/>
          <w:szCs w:val="24"/>
        </w:rPr>
        <w:t>013 году в полном объеме.</w:t>
      </w:r>
    </w:p>
    <w:p w:rsidR="00376837" w:rsidRDefault="004A0DE2" w:rsidP="00FB4AE9">
      <w:pPr>
        <w:tabs>
          <w:tab w:val="left" w:pos="700"/>
        </w:tabs>
        <w:spacing w:after="0" w:line="240" w:lineRule="auto"/>
        <w:jc w:val="both"/>
        <w:outlineLvl w:val="0"/>
        <w:rPr>
          <w:rFonts w:ascii="Times New Roman" w:hAnsi="Times New Roman" w:cs="Times New Roman"/>
          <w:sz w:val="24"/>
        </w:rPr>
      </w:pPr>
      <w:r>
        <w:rPr>
          <w:rFonts w:ascii="Times New Roman" w:hAnsi="Times New Roman" w:cs="Times New Roman"/>
          <w:sz w:val="24"/>
          <w:szCs w:val="24"/>
        </w:rPr>
        <w:tab/>
      </w:r>
      <w:r w:rsidR="00FB4AE9" w:rsidRPr="00403C8D">
        <w:rPr>
          <w:rFonts w:ascii="Times New Roman" w:hAnsi="Times New Roman" w:cs="Times New Roman"/>
          <w:sz w:val="24"/>
          <w:szCs w:val="24"/>
        </w:rPr>
        <w:t>В</w:t>
      </w:r>
      <w:r w:rsidR="00FB4AE9" w:rsidRPr="00403C8D">
        <w:rPr>
          <w:rFonts w:ascii="Times New Roman" w:hAnsi="Times New Roman" w:cs="Times New Roman"/>
          <w:sz w:val="24"/>
        </w:rPr>
        <w:t xml:space="preserve"> 2013 году муниципальным образованиям выдано бюджетных кредитов</w:t>
      </w:r>
      <w:r w:rsidR="00376837">
        <w:rPr>
          <w:rFonts w:ascii="Times New Roman" w:hAnsi="Times New Roman" w:cs="Times New Roman"/>
          <w:sz w:val="24"/>
        </w:rPr>
        <w:t>:</w:t>
      </w:r>
    </w:p>
    <w:p w:rsidR="00376837" w:rsidRPr="00376837" w:rsidRDefault="00FB4AE9" w:rsidP="008F6835">
      <w:pPr>
        <w:pStyle w:val="afa"/>
        <w:numPr>
          <w:ilvl w:val="0"/>
          <w:numId w:val="34"/>
        </w:numPr>
        <w:tabs>
          <w:tab w:val="left" w:pos="700"/>
        </w:tabs>
        <w:jc w:val="both"/>
        <w:outlineLvl w:val="0"/>
        <w:rPr>
          <w:sz w:val="24"/>
        </w:rPr>
      </w:pPr>
      <w:r w:rsidRPr="00376837">
        <w:rPr>
          <w:sz w:val="24"/>
        </w:rPr>
        <w:t xml:space="preserve">на частичное покрытие дефицита местных бюджетов на сумму 80,0 </w:t>
      </w:r>
      <w:r w:rsidR="00F333DB">
        <w:rPr>
          <w:sz w:val="24"/>
        </w:rPr>
        <w:t>млн</w:t>
      </w:r>
      <w:r w:rsidRPr="00376837">
        <w:rPr>
          <w:sz w:val="24"/>
        </w:rPr>
        <w:t>. рублей, или 80,0 процентов средств, предусмотренных Программой</w:t>
      </w:r>
      <w:r w:rsidRPr="00376837">
        <w:rPr>
          <w:sz w:val="24"/>
          <w:szCs w:val="24"/>
        </w:rPr>
        <w:t xml:space="preserve"> предоставления бюджетных кредитов из областного бюджета на 2013 год</w:t>
      </w:r>
      <w:r w:rsidR="00412673">
        <w:rPr>
          <w:sz w:val="24"/>
        </w:rPr>
        <w:t>;</w:t>
      </w:r>
    </w:p>
    <w:p w:rsidR="00FB4AE9" w:rsidRPr="0033038A" w:rsidRDefault="00FB4AE9" w:rsidP="008F6835">
      <w:pPr>
        <w:pStyle w:val="afa"/>
        <w:numPr>
          <w:ilvl w:val="0"/>
          <w:numId w:val="34"/>
        </w:numPr>
        <w:tabs>
          <w:tab w:val="left" w:pos="700"/>
        </w:tabs>
        <w:jc w:val="both"/>
        <w:outlineLvl w:val="0"/>
        <w:rPr>
          <w:sz w:val="24"/>
        </w:rPr>
      </w:pPr>
      <w:r w:rsidRPr="00376837">
        <w:rPr>
          <w:sz w:val="24"/>
        </w:rPr>
        <w:t xml:space="preserve">для осуществления мероприятий, связанных с ликвидацией последствий стихийных бедствий – </w:t>
      </w:r>
      <w:r w:rsidRPr="0033038A">
        <w:rPr>
          <w:sz w:val="24"/>
        </w:rPr>
        <w:t xml:space="preserve">на сумму 100,0 </w:t>
      </w:r>
      <w:r w:rsidR="00F333DB">
        <w:rPr>
          <w:sz w:val="24"/>
        </w:rPr>
        <w:t>млн</w:t>
      </w:r>
      <w:r w:rsidRPr="0033038A">
        <w:rPr>
          <w:sz w:val="24"/>
        </w:rPr>
        <w:t>. рублей, или 100,0 процентов средств, предусмотренных Программой.</w:t>
      </w:r>
    </w:p>
    <w:p w:rsidR="00FB4AE9" w:rsidRPr="00403C8D" w:rsidRDefault="00FB4AE9" w:rsidP="00FB4AE9">
      <w:pPr>
        <w:tabs>
          <w:tab w:val="left" w:pos="700"/>
        </w:tabs>
        <w:spacing w:after="0" w:line="240" w:lineRule="auto"/>
        <w:jc w:val="both"/>
        <w:outlineLvl w:val="0"/>
        <w:rPr>
          <w:rFonts w:ascii="Times New Roman" w:hAnsi="Times New Roman" w:cs="Times New Roman"/>
          <w:sz w:val="24"/>
        </w:rPr>
      </w:pPr>
      <w:r w:rsidRPr="00403C8D">
        <w:rPr>
          <w:rFonts w:ascii="Times New Roman" w:hAnsi="Times New Roman" w:cs="Times New Roman"/>
          <w:sz w:val="24"/>
        </w:rPr>
        <w:tab/>
        <w:t xml:space="preserve">Начислено процентов в 2013 году за пользование бюджетными кредитами в сумме </w:t>
      </w:r>
      <w:r w:rsidR="00F333DB">
        <w:rPr>
          <w:rFonts w:ascii="Times New Roman" w:hAnsi="Times New Roman" w:cs="Times New Roman"/>
          <w:sz w:val="24"/>
        </w:rPr>
        <w:br/>
      </w:r>
      <w:r w:rsidRPr="00403C8D">
        <w:rPr>
          <w:rFonts w:ascii="Times New Roman" w:hAnsi="Times New Roman" w:cs="Times New Roman"/>
          <w:sz w:val="24"/>
        </w:rPr>
        <w:t>3</w:t>
      </w:r>
      <w:r w:rsidR="00F333DB">
        <w:rPr>
          <w:rFonts w:ascii="Times New Roman" w:hAnsi="Times New Roman" w:cs="Times New Roman"/>
          <w:sz w:val="24"/>
        </w:rPr>
        <w:t>,</w:t>
      </w:r>
      <w:r w:rsidRPr="00403C8D">
        <w:rPr>
          <w:rFonts w:ascii="Times New Roman" w:hAnsi="Times New Roman" w:cs="Times New Roman"/>
          <w:sz w:val="24"/>
        </w:rPr>
        <w:t>6</w:t>
      </w:r>
      <w:r w:rsidR="00F333DB">
        <w:rPr>
          <w:rFonts w:ascii="Times New Roman" w:hAnsi="Times New Roman" w:cs="Times New Roman"/>
          <w:sz w:val="24"/>
        </w:rPr>
        <w:t xml:space="preserve"> млн</w:t>
      </w:r>
      <w:r w:rsidRPr="00403C8D">
        <w:rPr>
          <w:rFonts w:ascii="Times New Roman" w:hAnsi="Times New Roman" w:cs="Times New Roman"/>
          <w:sz w:val="24"/>
        </w:rPr>
        <w:t>. рублей и пени</w:t>
      </w:r>
      <w:r w:rsidRPr="00403C8D">
        <w:rPr>
          <w:rFonts w:ascii="Times New Roman" w:hAnsi="Times New Roman" w:cs="Times New Roman"/>
          <w:sz w:val="24"/>
          <w:szCs w:val="24"/>
        </w:rPr>
        <w:t xml:space="preserve"> за несвоевременный возврат бюджетных сре</w:t>
      </w:r>
      <w:proofErr w:type="gramStart"/>
      <w:r w:rsidRPr="00403C8D">
        <w:rPr>
          <w:rFonts w:ascii="Times New Roman" w:hAnsi="Times New Roman" w:cs="Times New Roman"/>
          <w:sz w:val="24"/>
          <w:szCs w:val="24"/>
        </w:rPr>
        <w:t>дств</w:t>
      </w:r>
      <w:r w:rsidRPr="00403C8D">
        <w:rPr>
          <w:rFonts w:ascii="Times New Roman" w:hAnsi="Times New Roman" w:cs="Times New Roman"/>
          <w:sz w:val="24"/>
        </w:rPr>
        <w:t xml:space="preserve"> в с</w:t>
      </w:r>
      <w:proofErr w:type="gramEnd"/>
      <w:r w:rsidRPr="00403C8D">
        <w:rPr>
          <w:rFonts w:ascii="Times New Roman" w:hAnsi="Times New Roman" w:cs="Times New Roman"/>
          <w:sz w:val="24"/>
        </w:rPr>
        <w:t>умме 2,97</w:t>
      </w:r>
      <w:r w:rsidR="00412673">
        <w:rPr>
          <w:rFonts w:ascii="Times New Roman" w:hAnsi="Times New Roman" w:cs="Times New Roman"/>
          <w:sz w:val="24"/>
        </w:rPr>
        <w:t xml:space="preserve"> тыс. рублей (город Белогорск).</w:t>
      </w:r>
    </w:p>
    <w:p w:rsidR="00FB4AE9" w:rsidRPr="00403C8D" w:rsidRDefault="00FB4AE9" w:rsidP="00FB4AE9">
      <w:pPr>
        <w:shd w:val="clear" w:color="auto" w:fill="FFFFFF"/>
        <w:spacing w:after="0" w:line="240" w:lineRule="auto"/>
        <w:ind w:firstLine="720"/>
        <w:jc w:val="both"/>
        <w:rPr>
          <w:rFonts w:ascii="Times New Roman" w:hAnsi="Times New Roman" w:cs="Times New Roman"/>
          <w:sz w:val="24"/>
        </w:rPr>
      </w:pPr>
      <w:r w:rsidRPr="00403C8D">
        <w:rPr>
          <w:rFonts w:ascii="Times New Roman" w:hAnsi="Times New Roman" w:cs="Times New Roman"/>
          <w:sz w:val="24"/>
          <w:szCs w:val="24"/>
        </w:rPr>
        <w:t>В 2013 году погашено бюджетных кредитов 88</w:t>
      </w:r>
      <w:r w:rsidR="00F333DB">
        <w:rPr>
          <w:rFonts w:ascii="Times New Roman" w:hAnsi="Times New Roman" w:cs="Times New Roman"/>
          <w:sz w:val="24"/>
          <w:szCs w:val="24"/>
        </w:rPr>
        <w:t>,4 млн</w:t>
      </w:r>
      <w:r w:rsidRPr="00403C8D">
        <w:rPr>
          <w:rFonts w:ascii="Times New Roman" w:hAnsi="Times New Roman" w:cs="Times New Roman"/>
          <w:sz w:val="24"/>
          <w:szCs w:val="24"/>
        </w:rPr>
        <w:t>. рублей, уплачено процентов за пользование бюджетными кредитами 3</w:t>
      </w:r>
      <w:r w:rsidR="00F333DB">
        <w:rPr>
          <w:rFonts w:ascii="Times New Roman" w:hAnsi="Times New Roman" w:cs="Times New Roman"/>
          <w:sz w:val="24"/>
          <w:szCs w:val="24"/>
        </w:rPr>
        <w:t>,</w:t>
      </w:r>
      <w:r w:rsidRPr="00403C8D">
        <w:rPr>
          <w:rFonts w:ascii="Times New Roman" w:hAnsi="Times New Roman" w:cs="Times New Roman"/>
          <w:sz w:val="24"/>
          <w:szCs w:val="24"/>
        </w:rPr>
        <w:t>6</w:t>
      </w:r>
      <w:r w:rsidR="00F333DB">
        <w:rPr>
          <w:rFonts w:ascii="Times New Roman" w:hAnsi="Times New Roman" w:cs="Times New Roman"/>
          <w:sz w:val="24"/>
          <w:szCs w:val="24"/>
        </w:rPr>
        <w:t xml:space="preserve"> млн</w:t>
      </w:r>
      <w:r w:rsidRPr="00403C8D">
        <w:rPr>
          <w:rFonts w:ascii="Times New Roman" w:hAnsi="Times New Roman" w:cs="Times New Roman"/>
          <w:sz w:val="24"/>
          <w:szCs w:val="24"/>
        </w:rPr>
        <w:t>. рублей и пени за несвоевременный возврат бюдж</w:t>
      </w:r>
      <w:r w:rsidR="00412673">
        <w:rPr>
          <w:rFonts w:ascii="Times New Roman" w:hAnsi="Times New Roman" w:cs="Times New Roman"/>
          <w:sz w:val="24"/>
          <w:szCs w:val="24"/>
        </w:rPr>
        <w:t>етных средств 2,97 тыс. рублей.</w:t>
      </w:r>
    </w:p>
    <w:p w:rsidR="00401EF2" w:rsidRDefault="00FB4AE9" w:rsidP="00F333DB">
      <w:pPr>
        <w:spacing w:after="0" w:line="240" w:lineRule="auto"/>
        <w:ind w:firstLine="708"/>
        <w:jc w:val="both"/>
        <w:outlineLvl w:val="0"/>
        <w:rPr>
          <w:rFonts w:ascii="Times New Roman" w:hAnsi="Times New Roman" w:cs="Times New Roman"/>
          <w:sz w:val="24"/>
          <w:szCs w:val="24"/>
        </w:rPr>
      </w:pPr>
      <w:r w:rsidRPr="00403C8D">
        <w:rPr>
          <w:rFonts w:ascii="Times New Roman" w:hAnsi="Times New Roman" w:cs="Times New Roman"/>
          <w:sz w:val="24"/>
        </w:rPr>
        <w:t xml:space="preserve">Остаток задолженности бюджетов муниципальных </w:t>
      </w:r>
      <w:r w:rsidR="00DA7401" w:rsidRPr="00403C8D">
        <w:rPr>
          <w:rFonts w:ascii="Times New Roman" w:hAnsi="Times New Roman" w:cs="Times New Roman"/>
          <w:sz w:val="24"/>
        </w:rPr>
        <w:t>образований</w:t>
      </w:r>
      <w:r w:rsidR="00DA7401">
        <w:rPr>
          <w:rFonts w:ascii="Times New Roman" w:hAnsi="Times New Roman" w:cs="Times New Roman"/>
          <w:sz w:val="24"/>
        </w:rPr>
        <w:t xml:space="preserve"> </w:t>
      </w:r>
      <w:r w:rsidR="00DA7401" w:rsidRPr="00403C8D">
        <w:rPr>
          <w:rFonts w:ascii="Times New Roman" w:hAnsi="Times New Roman" w:cs="Times New Roman"/>
          <w:color w:val="000000"/>
          <w:sz w:val="24"/>
        </w:rPr>
        <w:t>по</w:t>
      </w:r>
      <w:r w:rsidRPr="00403C8D">
        <w:rPr>
          <w:rFonts w:ascii="Times New Roman" w:hAnsi="Times New Roman" w:cs="Times New Roman"/>
          <w:color w:val="000000"/>
          <w:sz w:val="24"/>
        </w:rPr>
        <w:t xml:space="preserve"> бюджетным кредитам по состоянию на 01.01.2014 составляет </w:t>
      </w:r>
      <w:r w:rsidRPr="00403C8D">
        <w:rPr>
          <w:rFonts w:ascii="Times New Roman" w:hAnsi="Times New Roman" w:cs="Times New Roman"/>
          <w:sz w:val="24"/>
          <w:szCs w:val="24"/>
        </w:rPr>
        <w:t>286,</w:t>
      </w:r>
      <w:r w:rsidR="00F333DB">
        <w:rPr>
          <w:rFonts w:ascii="Times New Roman" w:hAnsi="Times New Roman" w:cs="Times New Roman"/>
          <w:sz w:val="24"/>
          <w:szCs w:val="24"/>
        </w:rPr>
        <w:t>0</w:t>
      </w:r>
      <w:r w:rsidRPr="00403C8D">
        <w:rPr>
          <w:rFonts w:ascii="Times New Roman" w:hAnsi="Times New Roman" w:cs="Times New Roman"/>
          <w:sz w:val="24"/>
          <w:szCs w:val="24"/>
        </w:rPr>
        <w:t xml:space="preserve"> </w:t>
      </w:r>
      <w:r w:rsidR="00F333DB">
        <w:rPr>
          <w:rFonts w:ascii="Times New Roman" w:hAnsi="Times New Roman" w:cs="Times New Roman"/>
          <w:sz w:val="24"/>
          <w:szCs w:val="24"/>
        </w:rPr>
        <w:t>млн</w:t>
      </w:r>
      <w:r w:rsidR="00FF13B7">
        <w:rPr>
          <w:rFonts w:ascii="Times New Roman" w:hAnsi="Times New Roman" w:cs="Times New Roman"/>
          <w:color w:val="000000"/>
          <w:sz w:val="24"/>
        </w:rPr>
        <w:t>. рублей.</w:t>
      </w:r>
      <w:bookmarkStart w:id="4" w:name="_GoBack"/>
      <w:bookmarkEnd w:id="4"/>
    </w:p>
    <w:p w:rsidR="00F333DB" w:rsidRDefault="00F333DB" w:rsidP="00376837">
      <w:pPr>
        <w:keepNext/>
        <w:spacing w:after="0" w:line="240" w:lineRule="auto"/>
        <w:ind w:firstLine="709"/>
        <w:jc w:val="both"/>
        <w:outlineLvl w:val="0"/>
        <w:rPr>
          <w:rFonts w:ascii="Times New Roman" w:hAnsi="Times New Roman" w:cs="Times New Roman"/>
          <w:b/>
          <w:sz w:val="24"/>
          <w:szCs w:val="24"/>
        </w:rPr>
      </w:pPr>
    </w:p>
    <w:p w:rsidR="00376837" w:rsidRPr="00376837" w:rsidRDefault="00376837" w:rsidP="00376837">
      <w:pPr>
        <w:keepNext/>
        <w:spacing w:after="0" w:line="240" w:lineRule="auto"/>
        <w:ind w:firstLine="709"/>
        <w:jc w:val="both"/>
        <w:outlineLvl w:val="0"/>
        <w:rPr>
          <w:rFonts w:ascii="Times New Roman" w:hAnsi="Times New Roman" w:cs="Times New Roman"/>
          <w:b/>
          <w:sz w:val="24"/>
          <w:szCs w:val="24"/>
        </w:rPr>
      </w:pPr>
      <w:r>
        <w:rPr>
          <w:rFonts w:ascii="Times New Roman" w:hAnsi="Times New Roman" w:cs="Times New Roman"/>
          <w:b/>
          <w:sz w:val="24"/>
          <w:szCs w:val="24"/>
        </w:rPr>
        <w:t xml:space="preserve">11. </w:t>
      </w:r>
      <w:r w:rsidRPr="00376837">
        <w:rPr>
          <w:rFonts w:ascii="Times New Roman" w:hAnsi="Times New Roman" w:cs="Times New Roman"/>
          <w:b/>
          <w:sz w:val="24"/>
          <w:szCs w:val="24"/>
        </w:rPr>
        <w:t>Анализ предоставления предприятиям и организациям средств из областного бюджета на возвратной основе, своевременность расчетов по кредитным договорам в 2013 году</w:t>
      </w:r>
    </w:p>
    <w:p w:rsidR="00376837" w:rsidRPr="00376837" w:rsidRDefault="00376837" w:rsidP="00376837">
      <w:pPr>
        <w:pStyle w:val="25"/>
        <w:spacing w:after="0" w:line="240" w:lineRule="auto"/>
        <w:ind w:firstLine="709"/>
        <w:jc w:val="both"/>
      </w:pPr>
      <w:r w:rsidRPr="00376837">
        <w:t>Согласно отчету о предоставленных и погашенных бюджетных кредитах, выданных за счет средств областного бюджета, в 2013 году бюджетные кредиты не выдавались.</w:t>
      </w:r>
    </w:p>
    <w:p w:rsidR="00376837" w:rsidRPr="00376837" w:rsidRDefault="00376837" w:rsidP="00376837">
      <w:pPr>
        <w:spacing w:after="0" w:line="240" w:lineRule="auto"/>
        <w:ind w:firstLine="709"/>
        <w:jc w:val="both"/>
        <w:rPr>
          <w:rFonts w:ascii="Times New Roman" w:hAnsi="Times New Roman" w:cs="Times New Roman"/>
          <w:sz w:val="24"/>
          <w:szCs w:val="24"/>
        </w:rPr>
      </w:pPr>
      <w:r w:rsidRPr="00376837">
        <w:rPr>
          <w:rFonts w:ascii="Times New Roman" w:hAnsi="Times New Roman" w:cs="Times New Roman"/>
          <w:spacing w:val="-7"/>
          <w:sz w:val="24"/>
          <w:szCs w:val="24"/>
        </w:rPr>
        <w:t xml:space="preserve">Задолженность организаций и предприятий области по бюджетным кредитам, выданным из областного бюджета </w:t>
      </w:r>
      <w:r w:rsidRPr="00376837">
        <w:rPr>
          <w:rFonts w:ascii="Times New Roman" w:hAnsi="Times New Roman" w:cs="Times New Roman"/>
          <w:sz w:val="24"/>
          <w:szCs w:val="24"/>
        </w:rPr>
        <w:t xml:space="preserve">на возвратной основе, по состоянию на 01.01.2013 составила </w:t>
      </w:r>
      <w:r w:rsidRPr="00376837">
        <w:rPr>
          <w:rFonts w:ascii="Times New Roman" w:hAnsi="Times New Roman" w:cs="Times New Roman"/>
          <w:sz w:val="24"/>
          <w:szCs w:val="24"/>
        </w:rPr>
        <w:br/>
        <w:t>681</w:t>
      </w:r>
      <w:r w:rsidR="00F333DB">
        <w:rPr>
          <w:rFonts w:ascii="Times New Roman" w:hAnsi="Times New Roman" w:cs="Times New Roman"/>
          <w:sz w:val="24"/>
          <w:szCs w:val="24"/>
        </w:rPr>
        <w:t>,3</w:t>
      </w:r>
      <w:r w:rsidRPr="00376837">
        <w:rPr>
          <w:rFonts w:ascii="Times New Roman" w:hAnsi="Times New Roman" w:cs="Times New Roman"/>
          <w:sz w:val="24"/>
          <w:szCs w:val="24"/>
        </w:rPr>
        <w:t xml:space="preserve"> </w:t>
      </w:r>
      <w:r w:rsidR="00F333DB">
        <w:rPr>
          <w:rFonts w:ascii="Times New Roman" w:hAnsi="Times New Roman" w:cs="Times New Roman"/>
          <w:sz w:val="24"/>
          <w:szCs w:val="24"/>
        </w:rPr>
        <w:t>млн</w:t>
      </w:r>
      <w:r w:rsidRPr="00376837">
        <w:rPr>
          <w:rFonts w:ascii="Times New Roman" w:hAnsi="Times New Roman" w:cs="Times New Roman"/>
          <w:sz w:val="24"/>
          <w:szCs w:val="24"/>
        </w:rPr>
        <w:t>. рублей. Погашено кредитов в 2013 г</w:t>
      </w:r>
      <w:r w:rsidR="00412673">
        <w:rPr>
          <w:rFonts w:ascii="Times New Roman" w:hAnsi="Times New Roman" w:cs="Times New Roman"/>
          <w:sz w:val="24"/>
          <w:szCs w:val="24"/>
        </w:rPr>
        <w:t xml:space="preserve">оду в сумме 8,0 </w:t>
      </w:r>
      <w:r w:rsidR="00F333DB">
        <w:rPr>
          <w:rFonts w:ascii="Times New Roman" w:hAnsi="Times New Roman" w:cs="Times New Roman"/>
          <w:sz w:val="24"/>
          <w:szCs w:val="24"/>
        </w:rPr>
        <w:t>млн</w:t>
      </w:r>
      <w:r w:rsidR="00412673">
        <w:rPr>
          <w:rFonts w:ascii="Times New Roman" w:hAnsi="Times New Roman" w:cs="Times New Roman"/>
          <w:sz w:val="24"/>
          <w:szCs w:val="24"/>
        </w:rPr>
        <w:t>. рублей.</w:t>
      </w:r>
    </w:p>
    <w:p w:rsidR="00376837" w:rsidRPr="00412673" w:rsidRDefault="00376837" w:rsidP="00376837">
      <w:pPr>
        <w:spacing w:after="0" w:line="240" w:lineRule="auto"/>
        <w:ind w:firstLine="709"/>
        <w:jc w:val="both"/>
        <w:rPr>
          <w:rFonts w:ascii="Times New Roman" w:hAnsi="Times New Roman" w:cs="Times New Roman"/>
        </w:rPr>
      </w:pPr>
      <w:r w:rsidRPr="00376837">
        <w:rPr>
          <w:rFonts w:ascii="Times New Roman" w:hAnsi="Times New Roman" w:cs="Times New Roman"/>
          <w:sz w:val="24"/>
          <w:szCs w:val="24"/>
        </w:rPr>
        <w:t xml:space="preserve">Остаток задолженности по бюджетным кредитам на 01.01.2014 составил </w:t>
      </w:r>
      <w:r w:rsidRPr="00376837">
        <w:rPr>
          <w:rFonts w:ascii="Times New Roman" w:hAnsi="Times New Roman" w:cs="Times New Roman"/>
          <w:sz w:val="24"/>
          <w:szCs w:val="24"/>
        </w:rPr>
        <w:br/>
        <w:t>673</w:t>
      </w:r>
      <w:r w:rsidR="00F333DB">
        <w:rPr>
          <w:rFonts w:ascii="Times New Roman" w:hAnsi="Times New Roman" w:cs="Times New Roman"/>
          <w:sz w:val="24"/>
          <w:szCs w:val="24"/>
        </w:rPr>
        <w:t>,2 млн</w:t>
      </w:r>
      <w:r w:rsidRPr="00376837">
        <w:rPr>
          <w:rFonts w:ascii="Times New Roman" w:hAnsi="Times New Roman" w:cs="Times New Roman"/>
          <w:sz w:val="24"/>
          <w:szCs w:val="24"/>
        </w:rPr>
        <w:t>. рублей и является задолженностью ГУП Амурской области «Агро».</w:t>
      </w:r>
    </w:p>
    <w:p w:rsidR="000E4CF0" w:rsidRPr="000E4CF0" w:rsidRDefault="000E4CF0" w:rsidP="000E4CF0">
      <w:pPr>
        <w:spacing w:after="0" w:line="240" w:lineRule="auto"/>
        <w:ind w:firstLine="709"/>
        <w:jc w:val="both"/>
        <w:outlineLvl w:val="1"/>
        <w:rPr>
          <w:rFonts w:ascii="Times New Roman" w:hAnsi="Times New Roman" w:cs="Times New Roman"/>
          <w:bCs/>
          <w:sz w:val="24"/>
          <w:szCs w:val="24"/>
        </w:rPr>
      </w:pPr>
      <w:r>
        <w:rPr>
          <w:rFonts w:ascii="Times New Roman" w:hAnsi="Times New Roman" w:cs="Times New Roman"/>
          <w:sz w:val="24"/>
          <w:szCs w:val="24"/>
        </w:rPr>
        <w:t xml:space="preserve">В соответствии с </w:t>
      </w:r>
      <w:r w:rsidRPr="000E4CF0">
        <w:rPr>
          <w:rFonts w:ascii="Times New Roman" w:hAnsi="Times New Roman" w:cs="Times New Roman"/>
          <w:sz w:val="24"/>
          <w:szCs w:val="24"/>
        </w:rPr>
        <w:t>Закон</w:t>
      </w:r>
      <w:r>
        <w:rPr>
          <w:rFonts w:ascii="Times New Roman" w:hAnsi="Times New Roman" w:cs="Times New Roman"/>
          <w:sz w:val="24"/>
          <w:szCs w:val="24"/>
        </w:rPr>
        <w:t>ом</w:t>
      </w:r>
      <w:r w:rsidRPr="000E4CF0">
        <w:rPr>
          <w:rFonts w:ascii="Times New Roman" w:hAnsi="Times New Roman" w:cs="Times New Roman"/>
          <w:sz w:val="24"/>
          <w:szCs w:val="24"/>
        </w:rPr>
        <w:t xml:space="preserve"> Амурской области от </w:t>
      </w:r>
      <w:r w:rsidR="00BF7646">
        <w:rPr>
          <w:rFonts w:ascii="Times New Roman" w:hAnsi="Times New Roman" w:cs="Times New Roman"/>
          <w:sz w:val="24"/>
          <w:szCs w:val="24"/>
        </w:rPr>
        <w:t>22.12.2008 № 145-ОЗ</w:t>
      </w:r>
      <w:r w:rsidRPr="000E4CF0">
        <w:rPr>
          <w:rFonts w:ascii="Times New Roman" w:hAnsi="Times New Roman" w:cs="Times New Roman"/>
          <w:sz w:val="24"/>
          <w:szCs w:val="24"/>
        </w:rPr>
        <w:t xml:space="preserve"> «Об областном бюджете на 2009 год» </w:t>
      </w:r>
      <w:r w:rsidRPr="000E4CF0">
        <w:rPr>
          <w:rFonts w:ascii="Times New Roman" w:hAnsi="Times New Roman" w:cs="Times New Roman"/>
          <w:bCs/>
          <w:sz w:val="24"/>
          <w:szCs w:val="24"/>
        </w:rPr>
        <w:t>задолженность ГУП Амурской области «Агро» по бюджетным кредитам, полученным и</w:t>
      </w:r>
      <w:r w:rsidR="00BF7646">
        <w:rPr>
          <w:rFonts w:ascii="Times New Roman" w:hAnsi="Times New Roman" w:cs="Times New Roman"/>
          <w:bCs/>
          <w:sz w:val="24"/>
          <w:szCs w:val="24"/>
        </w:rPr>
        <w:t xml:space="preserve">з областного бюджета, причитающаяся к погашению в </w:t>
      </w:r>
      <w:r w:rsidR="00BF7646">
        <w:rPr>
          <w:rFonts w:ascii="Times New Roman" w:hAnsi="Times New Roman" w:cs="Times New Roman"/>
          <w:bCs/>
          <w:sz w:val="24"/>
          <w:szCs w:val="24"/>
        </w:rPr>
        <w:br/>
        <w:t>2008</w:t>
      </w:r>
      <w:r w:rsidRPr="000E4CF0">
        <w:rPr>
          <w:rFonts w:ascii="Times New Roman" w:hAnsi="Times New Roman" w:cs="Times New Roman"/>
          <w:bCs/>
          <w:sz w:val="24"/>
          <w:szCs w:val="24"/>
        </w:rPr>
        <w:t>-2010 годах, реструктури</w:t>
      </w:r>
      <w:r>
        <w:rPr>
          <w:rFonts w:ascii="Times New Roman" w:hAnsi="Times New Roman" w:cs="Times New Roman"/>
          <w:bCs/>
          <w:sz w:val="24"/>
          <w:szCs w:val="24"/>
        </w:rPr>
        <w:t>зирована</w:t>
      </w:r>
      <w:r w:rsidRPr="000E4CF0">
        <w:rPr>
          <w:rFonts w:ascii="Times New Roman" w:hAnsi="Times New Roman" w:cs="Times New Roman"/>
          <w:bCs/>
          <w:sz w:val="24"/>
          <w:szCs w:val="24"/>
        </w:rPr>
        <w:t xml:space="preserve"> путем перенос</w:t>
      </w:r>
      <w:r>
        <w:rPr>
          <w:rFonts w:ascii="Times New Roman" w:hAnsi="Times New Roman" w:cs="Times New Roman"/>
          <w:bCs/>
          <w:sz w:val="24"/>
          <w:szCs w:val="24"/>
        </w:rPr>
        <w:t>а срока ее возврата на 2012 год.</w:t>
      </w:r>
    </w:p>
    <w:p w:rsidR="00BF7646" w:rsidRDefault="00DA7401" w:rsidP="00BF7646">
      <w:pPr>
        <w:spacing w:after="0" w:line="240" w:lineRule="auto"/>
        <w:ind w:firstLine="709"/>
        <w:jc w:val="both"/>
        <w:outlineLvl w:val="1"/>
        <w:rPr>
          <w:rFonts w:ascii="Times New Roman" w:hAnsi="Times New Roman" w:cs="Times New Roman"/>
          <w:sz w:val="24"/>
          <w:szCs w:val="24"/>
        </w:rPr>
      </w:pPr>
      <w:r w:rsidRPr="00376837">
        <w:rPr>
          <w:rFonts w:ascii="Times New Roman" w:hAnsi="Times New Roman" w:cs="Times New Roman"/>
          <w:sz w:val="24"/>
          <w:szCs w:val="24"/>
        </w:rPr>
        <w:t xml:space="preserve">В соответствии с </w:t>
      </w:r>
      <w:r w:rsidRPr="00376837">
        <w:rPr>
          <w:rFonts w:ascii="Times New Roman" w:hAnsi="Times New Roman" w:cs="Times New Roman"/>
          <w:bCs/>
          <w:sz w:val="24"/>
          <w:szCs w:val="24"/>
        </w:rPr>
        <w:t>Закон</w:t>
      </w:r>
      <w:r>
        <w:rPr>
          <w:rFonts w:ascii="Times New Roman" w:hAnsi="Times New Roman" w:cs="Times New Roman"/>
          <w:bCs/>
          <w:sz w:val="24"/>
          <w:szCs w:val="24"/>
        </w:rPr>
        <w:t>ом</w:t>
      </w:r>
      <w:r w:rsidRPr="00376837">
        <w:rPr>
          <w:rFonts w:ascii="Times New Roman" w:hAnsi="Times New Roman" w:cs="Times New Roman"/>
          <w:bCs/>
          <w:sz w:val="24"/>
          <w:szCs w:val="24"/>
        </w:rPr>
        <w:t xml:space="preserve"> Амурской области от 12.12.2011 </w:t>
      </w:r>
      <w:r>
        <w:rPr>
          <w:rFonts w:ascii="Times New Roman" w:hAnsi="Times New Roman" w:cs="Times New Roman"/>
          <w:bCs/>
          <w:sz w:val="24"/>
          <w:szCs w:val="24"/>
        </w:rPr>
        <w:t>№</w:t>
      </w:r>
      <w:r w:rsidRPr="00376837">
        <w:rPr>
          <w:rFonts w:ascii="Times New Roman" w:hAnsi="Times New Roman" w:cs="Times New Roman"/>
          <w:bCs/>
          <w:sz w:val="24"/>
          <w:szCs w:val="24"/>
        </w:rPr>
        <w:t xml:space="preserve"> 586-ОЗ «Об областном бюджете на 2012 год и плановый период 2013 и 2014 годов»</w:t>
      </w:r>
      <w:r>
        <w:rPr>
          <w:rFonts w:ascii="Times New Roman" w:hAnsi="Times New Roman" w:cs="Times New Roman"/>
          <w:bCs/>
          <w:sz w:val="24"/>
          <w:szCs w:val="24"/>
        </w:rPr>
        <w:t xml:space="preserve"> </w:t>
      </w:r>
      <w:r>
        <w:rPr>
          <w:rFonts w:ascii="Times New Roman" w:hAnsi="Times New Roman" w:cs="Times New Roman"/>
          <w:sz w:val="24"/>
          <w:szCs w:val="24"/>
        </w:rPr>
        <w:t>предусмотрено проведение</w:t>
      </w:r>
      <w:r w:rsidRPr="00376837">
        <w:rPr>
          <w:rFonts w:ascii="Times New Roman" w:hAnsi="Times New Roman" w:cs="Times New Roman"/>
          <w:sz w:val="24"/>
          <w:szCs w:val="24"/>
        </w:rPr>
        <w:t xml:space="preserve"> реструктуризаци</w:t>
      </w:r>
      <w:r>
        <w:rPr>
          <w:rFonts w:ascii="Times New Roman" w:hAnsi="Times New Roman" w:cs="Times New Roman"/>
          <w:sz w:val="24"/>
          <w:szCs w:val="24"/>
        </w:rPr>
        <w:t>и</w:t>
      </w:r>
      <w:r w:rsidRPr="00376837">
        <w:rPr>
          <w:rFonts w:ascii="Times New Roman" w:hAnsi="Times New Roman" w:cs="Times New Roman"/>
          <w:sz w:val="24"/>
          <w:szCs w:val="24"/>
        </w:rPr>
        <w:t xml:space="preserve"> задолженности </w:t>
      </w:r>
      <w:r>
        <w:rPr>
          <w:rFonts w:ascii="Times New Roman" w:hAnsi="Times New Roman" w:cs="Times New Roman"/>
          <w:sz w:val="24"/>
          <w:szCs w:val="24"/>
        </w:rPr>
        <w:t xml:space="preserve">ГУП </w:t>
      </w:r>
      <w:r w:rsidRPr="00376837">
        <w:rPr>
          <w:rFonts w:ascii="Times New Roman" w:hAnsi="Times New Roman" w:cs="Times New Roman"/>
          <w:sz w:val="24"/>
          <w:szCs w:val="24"/>
        </w:rPr>
        <w:t>Амурской области «Агро» по бюджетным кредитам, полученным из областного бюджета, причитающейся к погашению в 2012 году (далее - задолженность), путем предоставления рассрочки до 31 декабря 2016 года в соответствии со следующим графиком:</w:t>
      </w:r>
    </w:p>
    <w:p w:rsidR="00BF7646" w:rsidRPr="00376837" w:rsidRDefault="00BF7646" w:rsidP="00BF7646">
      <w:pPr>
        <w:spacing w:after="0" w:line="240" w:lineRule="auto"/>
        <w:ind w:firstLine="709"/>
        <w:jc w:val="both"/>
        <w:outlineLvl w:val="1"/>
        <w:rPr>
          <w:rFonts w:ascii="Times New Roman" w:hAnsi="Times New Roman" w:cs="Times New Roman"/>
          <w:sz w:val="24"/>
          <w:szCs w:val="24"/>
        </w:rPr>
      </w:pPr>
      <w:r w:rsidRPr="00376837">
        <w:rPr>
          <w:rFonts w:ascii="Times New Roman" w:hAnsi="Times New Roman" w:cs="Times New Roman"/>
          <w:sz w:val="24"/>
          <w:szCs w:val="24"/>
        </w:rPr>
        <w:t>до 31 декабря 2014 года в сумме 28 247,9 тыс. рублей;</w:t>
      </w:r>
    </w:p>
    <w:p w:rsidR="00BF7646" w:rsidRPr="00376837" w:rsidRDefault="00BF7646" w:rsidP="00BF7646">
      <w:pPr>
        <w:spacing w:after="0" w:line="240" w:lineRule="auto"/>
        <w:ind w:firstLine="709"/>
        <w:jc w:val="both"/>
        <w:outlineLvl w:val="1"/>
        <w:rPr>
          <w:rFonts w:ascii="Times New Roman" w:hAnsi="Times New Roman" w:cs="Times New Roman"/>
          <w:sz w:val="24"/>
          <w:szCs w:val="24"/>
        </w:rPr>
      </w:pPr>
      <w:r w:rsidRPr="00376837">
        <w:rPr>
          <w:rFonts w:ascii="Times New Roman" w:hAnsi="Times New Roman" w:cs="Times New Roman"/>
          <w:sz w:val="24"/>
          <w:szCs w:val="24"/>
        </w:rPr>
        <w:t>до 31 декабря 2015 года в сумме 322 468,3 тыс. рублей;</w:t>
      </w:r>
    </w:p>
    <w:p w:rsidR="00BF7646" w:rsidRDefault="00BF7646" w:rsidP="00BF7646">
      <w:pPr>
        <w:spacing w:after="0" w:line="240" w:lineRule="auto"/>
        <w:ind w:firstLine="709"/>
        <w:jc w:val="both"/>
        <w:outlineLvl w:val="1"/>
        <w:rPr>
          <w:rFonts w:ascii="Times New Roman" w:hAnsi="Times New Roman" w:cs="Times New Roman"/>
          <w:sz w:val="24"/>
          <w:szCs w:val="24"/>
        </w:rPr>
      </w:pPr>
      <w:r w:rsidRPr="00376837">
        <w:rPr>
          <w:rFonts w:ascii="Times New Roman" w:hAnsi="Times New Roman" w:cs="Times New Roman"/>
          <w:sz w:val="24"/>
          <w:szCs w:val="24"/>
        </w:rPr>
        <w:t>до 31 декабря 2016 год</w:t>
      </w:r>
      <w:r>
        <w:rPr>
          <w:rFonts w:ascii="Times New Roman" w:hAnsi="Times New Roman" w:cs="Times New Roman"/>
          <w:sz w:val="24"/>
          <w:szCs w:val="24"/>
        </w:rPr>
        <w:t>а в сумме 322 468,3 тыс. рублей.</w:t>
      </w:r>
    </w:p>
    <w:p w:rsidR="00BF7646" w:rsidRDefault="00BF7646" w:rsidP="00BF7646">
      <w:pPr>
        <w:pStyle w:val="25"/>
        <w:spacing w:after="0" w:line="240" w:lineRule="auto"/>
        <w:ind w:firstLine="709"/>
        <w:jc w:val="both"/>
      </w:pPr>
      <w:r w:rsidRPr="00376837">
        <w:t xml:space="preserve">В 2013 году за пользование бюджетными кредитами Предприятию начислены проценты в </w:t>
      </w:r>
      <w:r>
        <w:t>размере 2</w:t>
      </w:r>
      <w:r w:rsidR="00F333DB">
        <w:t>,2 млн</w:t>
      </w:r>
      <w:r w:rsidRPr="00376837">
        <w:t>. рублей, которые погашены в полном объеме.</w:t>
      </w:r>
    </w:p>
    <w:p w:rsidR="004329F0" w:rsidRDefault="004329F0" w:rsidP="00BF7646">
      <w:pPr>
        <w:pStyle w:val="25"/>
        <w:spacing w:after="0" w:line="240" w:lineRule="auto"/>
        <w:ind w:firstLine="709"/>
        <w:jc w:val="both"/>
      </w:pPr>
    </w:p>
    <w:p w:rsidR="004329F0" w:rsidRPr="008E4958" w:rsidRDefault="004329F0" w:rsidP="00DB2529">
      <w:pPr>
        <w:pStyle w:val="afa"/>
        <w:numPr>
          <w:ilvl w:val="0"/>
          <w:numId w:val="13"/>
        </w:numPr>
        <w:jc w:val="both"/>
        <w:outlineLvl w:val="0"/>
        <w:rPr>
          <w:b/>
          <w:sz w:val="24"/>
          <w:szCs w:val="24"/>
        </w:rPr>
      </w:pPr>
      <w:r w:rsidRPr="008E4958">
        <w:rPr>
          <w:b/>
          <w:sz w:val="24"/>
          <w:szCs w:val="24"/>
        </w:rPr>
        <w:t xml:space="preserve">Анализ состояния </w:t>
      </w:r>
      <w:r w:rsidRPr="00A04E7F">
        <w:rPr>
          <w:b/>
          <w:sz w:val="24"/>
          <w:szCs w:val="24"/>
        </w:rPr>
        <w:t xml:space="preserve">внутреннего финансового контроля и внутреннего финансового </w:t>
      </w:r>
      <w:r w:rsidR="00DA7401" w:rsidRPr="00A04E7F">
        <w:rPr>
          <w:b/>
          <w:sz w:val="24"/>
          <w:szCs w:val="24"/>
        </w:rPr>
        <w:t>аудита,</w:t>
      </w:r>
      <w:r w:rsidR="00DA7401">
        <w:rPr>
          <w:b/>
          <w:sz w:val="24"/>
          <w:szCs w:val="24"/>
        </w:rPr>
        <w:t xml:space="preserve"> </w:t>
      </w:r>
      <w:r w:rsidR="00DA7401" w:rsidRPr="008E4958">
        <w:rPr>
          <w:b/>
          <w:sz w:val="24"/>
          <w:szCs w:val="24"/>
        </w:rPr>
        <w:t>осуществляемого</w:t>
      </w:r>
      <w:r w:rsidRPr="008E4958">
        <w:rPr>
          <w:b/>
          <w:sz w:val="24"/>
          <w:szCs w:val="24"/>
        </w:rPr>
        <w:t xml:space="preserve"> главными распорядителями бюджетных средств в 201</w:t>
      </w:r>
      <w:r>
        <w:rPr>
          <w:b/>
          <w:sz w:val="24"/>
          <w:szCs w:val="24"/>
        </w:rPr>
        <w:t>3</w:t>
      </w:r>
      <w:r w:rsidRPr="008E4958">
        <w:rPr>
          <w:b/>
          <w:sz w:val="24"/>
          <w:szCs w:val="24"/>
        </w:rPr>
        <w:t xml:space="preserve"> году</w:t>
      </w:r>
    </w:p>
    <w:p w:rsidR="004329F0" w:rsidRPr="00A04E7F" w:rsidRDefault="004329F0" w:rsidP="004329F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A04E7F">
        <w:rPr>
          <w:rFonts w:ascii="Times New Roman" w:eastAsia="Times New Roman" w:hAnsi="Times New Roman" w:cs="Times New Roman"/>
          <w:sz w:val="24"/>
          <w:szCs w:val="24"/>
          <w:lang w:eastAsia="ru-RU"/>
        </w:rPr>
        <w:t xml:space="preserve">В соответствии со статьей </w:t>
      </w:r>
      <w:r w:rsidRPr="00A04E7F">
        <w:rPr>
          <w:rFonts w:ascii="Times New Roman" w:hAnsi="Times New Roman" w:cs="Times New Roman"/>
          <w:sz w:val="24"/>
          <w:szCs w:val="24"/>
        </w:rPr>
        <w:t>160.2-1 Бюджетного кодекса Российской Федерации главные распорядители бюджетных средств наделены бюджетными полномочиями по осуществлению внутреннего финансового контроля и внутреннего финансового аудита.</w:t>
      </w:r>
    </w:p>
    <w:p w:rsidR="004329F0" w:rsidRPr="00A04E7F" w:rsidRDefault="004329F0" w:rsidP="004329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4E7F">
        <w:rPr>
          <w:rFonts w:ascii="Times New Roman" w:eastAsia="Times New Roman" w:hAnsi="Times New Roman" w:cs="Times New Roman"/>
          <w:sz w:val="24"/>
          <w:szCs w:val="24"/>
          <w:lang w:eastAsia="ru-RU"/>
        </w:rPr>
        <w:t xml:space="preserve">Постановлением Правительства Амурской области от 30.06.2011 № 439 (в ред. </w:t>
      </w:r>
      <w:r w:rsidRPr="00A04E7F">
        <w:rPr>
          <w:rFonts w:ascii="Times New Roman" w:eastAsia="Times New Roman" w:hAnsi="Times New Roman" w:cs="Times New Roman"/>
          <w:sz w:val="24"/>
          <w:szCs w:val="24"/>
          <w:lang w:eastAsia="ru-RU"/>
        </w:rPr>
        <w:lastRenderedPageBreak/>
        <w:t xml:space="preserve">постановления Правительства Амурской области от 01.11.203 № 530) утвержден </w:t>
      </w:r>
      <w:hyperlink r:id="rId31" w:history="1">
        <w:r w:rsidRPr="00A04E7F">
          <w:rPr>
            <w:rFonts w:ascii="Times New Roman" w:eastAsia="Times New Roman" w:hAnsi="Times New Roman" w:cs="Times New Roman"/>
            <w:sz w:val="24"/>
            <w:szCs w:val="24"/>
            <w:lang w:eastAsia="ru-RU"/>
          </w:rPr>
          <w:t>Порядок</w:t>
        </w:r>
      </w:hyperlink>
      <w:r w:rsidRPr="00A04E7F">
        <w:rPr>
          <w:rFonts w:ascii="Times New Roman" w:eastAsia="Times New Roman" w:hAnsi="Times New Roman" w:cs="Times New Roman"/>
          <w:sz w:val="24"/>
          <w:szCs w:val="24"/>
          <w:lang w:eastAsia="ru-RU"/>
        </w:rPr>
        <w:t xml:space="preserve"> осуществления </w:t>
      </w:r>
      <w:r w:rsidRPr="00A04E7F">
        <w:rPr>
          <w:rFonts w:ascii="Times New Roman" w:hAnsi="Times New Roman" w:cs="Times New Roman"/>
          <w:sz w:val="24"/>
          <w:szCs w:val="24"/>
        </w:rPr>
        <w:t>внутреннего финансового контроля и внутреннего финансового аудита, которым установлены единые требования к проведению мероприятий внутреннего финансового контроля и внутреннего финансового аудита главными распорядителями (распорядителями) средств областного бюджета.</w:t>
      </w:r>
    </w:p>
    <w:p w:rsidR="004329F0" w:rsidRPr="00107640" w:rsidRDefault="004329F0" w:rsidP="004329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04E7F">
        <w:rPr>
          <w:rFonts w:ascii="Times New Roman" w:eastAsia="Times New Roman" w:hAnsi="Times New Roman" w:cs="Times New Roman"/>
          <w:sz w:val="24"/>
          <w:szCs w:val="24"/>
          <w:lang w:eastAsia="ru-RU"/>
        </w:rPr>
        <w:t xml:space="preserve">Анализом бюджетной отчетности и дополнительно представленной по запросу контрольно-счетной палаты Амурской области информации об осуществлении в </w:t>
      </w:r>
      <w:r w:rsidRPr="00A04E7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3</w:t>
      </w:r>
      <w:r w:rsidR="00412673">
        <w:rPr>
          <w:rFonts w:ascii="Times New Roman" w:eastAsia="Times New Roman" w:hAnsi="Times New Roman" w:cs="Times New Roman"/>
          <w:sz w:val="24"/>
          <w:szCs w:val="24"/>
          <w:lang w:eastAsia="ru-RU"/>
        </w:rPr>
        <w:t xml:space="preserve"> </w:t>
      </w:r>
      <w:r w:rsidRPr="00A04E7F">
        <w:rPr>
          <w:rFonts w:ascii="Times New Roman" w:eastAsia="Times New Roman" w:hAnsi="Times New Roman" w:cs="Times New Roman"/>
          <w:sz w:val="24"/>
          <w:szCs w:val="24"/>
          <w:lang w:eastAsia="ru-RU"/>
        </w:rPr>
        <w:t xml:space="preserve">году </w:t>
      </w:r>
      <w:r w:rsidRPr="00A04E7F">
        <w:rPr>
          <w:rFonts w:ascii="Times New Roman" w:hAnsi="Times New Roman" w:cs="Times New Roman"/>
          <w:sz w:val="24"/>
          <w:szCs w:val="24"/>
        </w:rPr>
        <w:t>внутреннего финансового контроля и внутреннего финансового аудита</w:t>
      </w:r>
      <w:r w:rsidRPr="00A04E7F">
        <w:rPr>
          <w:rFonts w:ascii="Times New Roman" w:eastAsia="Times New Roman" w:hAnsi="Times New Roman" w:cs="Times New Roman"/>
          <w:sz w:val="24"/>
          <w:szCs w:val="24"/>
          <w:lang w:eastAsia="ru-RU"/>
        </w:rPr>
        <w:t xml:space="preserve"> главными распорядителями средств областного бюджета, имеющими подведомственную сеть, и осуществляющими исполнение расходов</w:t>
      </w:r>
      <w:r w:rsidRPr="00107640">
        <w:rPr>
          <w:rFonts w:ascii="Times New Roman" w:eastAsia="Times New Roman" w:hAnsi="Times New Roman" w:cs="Times New Roman"/>
          <w:sz w:val="24"/>
          <w:szCs w:val="24"/>
          <w:lang w:eastAsia="ru-RU"/>
        </w:rPr>
        <w:t xml:space="preserve"> областного бюджета в части субвенций, межбюджетных субсидий и иных субсидий, установлено следующее.</w:t>
      </w:r>
    </w:p>
    <w:p w:rsidR="00F333DB" w:rsidRPr="00F333DB" w:rsidRDefault="00EA3E72" w:rsidP="00F333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w:t>
      </w:r>
      <w:r w:rsidR="00F333DB" w:rsidRPr="00F333DB">
        <w:rPr>
          <w:rFonts w:ascii="Times New Roman" w:hAnsi="Times New Roman" w:cs="Times New Roman"/>
          <w:color w:val="000000"/>
          <w:sz w:val="24"/>
          <w:szCs w:val="24"/>
        </w:rPr>
        <w:t>абот</w:t>
      </w:r>
      <w:r>
        <w:rPr>
          <w:rFonts w:ascii="Times New Roman" w:hAnsi="Times New Roman" w:cs="Times New Roman"/>
          <w:color w:val="000000"/>
          <w:sz w:val="24"/>
          <w:szCs w:val="24"/>
        </w:rPr>
        <w:t>а</w:t>
      </w:r>
      <w:r w:rsidR="00F333DB" w:rsidRPr="00F333DB">
        <w:rPr>
          <w:rFonts w:ascii="Times New Roman" w:hAnsi="Times New Roman" w:cs="Times New Roman"/>
          <w:color w:val="000000"/>
          <w:sz w:val="24"/>
          <w:szCs w:val="24"/>
        </w:rPr>
        <w:t xml:space="preserve"> по развитию внутреннего контроля в министерствах</w:t>
      </w:r>
      <w:r>
        <w:rPr>
          <w:rFonts w:ascii="Times New Roman" w:hAnsi="Times New Roman" w:cs="Times New Roman"/>
          <w:color w:val="000000"/>
          <w:sz w:val="24"/>
          <w:szCs w:val="24"/>
        </w:rPr>
        <w:t xml:space="preserve"> продолжается</w:t>
      </w:r>
      <w:r w:rsidR="00F333DB" w:rsidRPr="00F333DB">
        <w:rPr>
          <w:rFonts w:ascii="Times New Roman" w:hAnsi="Times New Roman" w:cs="Times New Roman"/>
          <w:color w:val="000000"/>
          <w:sz w:val="24"/>
          <w:szCs w:val="24"/>
        </w:rPr>
        <w:t xml:space="preserve">. Однако о надежности и эффективности работы системы внутреннего </w:t>
      </w:r>
      <w:r w:rsidR="00F333DB" w:rsidRPr="00F333DB">
        <w:rPr>
          <w:rFonts w:ascii="Times New Roman" w:hAnsi="Times New Roman" w:cs="Times New Roman"/>
          <w:sz w:val="24"/>
          <w:szCs w:val="24"/>
        </w:rPr>
        <w:t>финансового</w:t>
      </w:r>
      <w:r w:rsidR="00F333DB" w:rsidRPr="00F333DB">
        <w:rPr>
          <w:rFonts w:ascii="Times New Roman" w:hAnsi="Times New Roman" w:cs="Times New Roman"/>
          <w:color w:val="000000"/>
          <w:sz w:val="24"/>
          <w:szCs w:val="24"/>
        </w:rPr>
        <w:t xml:space="preserve"> контроля пока говорить рано.</w:t>
      </w:r>
      <w:r w:rsidR="00F333DB" w:rsidRPr="00F333DB">
        <w:rPr>
          <w:rFonts w:ascii="Times New Roman" w:eastAsia="Times New Roman" w:hAnsi="Times New Roman" w:cs="Times New Roman"/>
          <w:sz w:val="24"/>
          <w:szCs w:val="24"/>
          <w:lang w:eastAsia="ru-RU"/>
        </w:rPr>
        <w:t xml:space="preserve"> Низок уровень его осуществления, недостаточна штатная численность в органах исполнительной власти для исполнения бюджетных полномочий по осуществлению внутреннего финансового контроля и внутреннего финансового аудита, отсутствует системный подход к организации работы.</w:t>
      </w:r>
    </w:p>
    <w:p w:rsidR="00F333DB" w:rsidRPr="00F333DB" w:rsidRDefault="00F333DB" w:rsidP="00F333DB">
      <w:pPr>
        <w:autoSpaceDE w:val="0"/>
        <w:autoSpaceDN w:val="0"/>
        <w:adjustRightInd w:val="0"/>
        <w:spacing w:after="0" w:line="240" w:lineRule="auto"/>
        <w:ind w:firstLine="540"/>
        <w:jc w:val="both"/>
        <w:rPr>
          <w:rFonts w:ascii="Times New Roman" w:hAnsi="Times New Roman" w:cs="Times New Roman"/>
          <w:bCs/>
          <w:sz w:val="24"/>
          <w:szCs w:val="24"/>
        </w:rPr>
      </w:pPr>
      <w:r w:rsidRPr="00F333DB">
        <w:rPr>
          <w:rFonts w:ascii="Times New Roman" w:hAnsi="Times New Roman" w:cs="Times New Roman"/>
          <w:sz w:val="24"/>
          <w:szCs w:val="24"/>
        </w:rPr>
        <w:t xml:space="preserve">Таким образом, задача по совершенствованию процедур внутреннего контроля не выполнена, </w:t>
      </w:r>
      <w:r w:rsidRPr="00F333DB">
        <w:rPr>
          <w:rFonts w:ascii="Times New Roman" w:hAnsi="Times New Roman" w:cs="Times New Roman"/>
          <w:bCs/>
          <w:sz w:val="24"/>
          <w:szCs w:val="24"/>
        </w:rPr>
        <w:t>смещения акцентов в контроле на вопросы выполнения государственных заданий не произошло.</w:t>
      </w:r>
    </w:p>
    <w:p w:rsidR="00F333DB" w:rsidRPr="00F333DB" w:rsidRDefault="00F333DB" w:rsidP="00F333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3DB">
        <w:rPr>
          <w:rFonts w:ascii="Times New Roman" w:eastAsia="Times New Roman" w:hAnsi="Times New Roman" w:cs="Times New Roman"/>
          <w:sz w:val="24"/>
          <w:szCs w:val="24"/>
          <w:lang w:eastAsia="ru-RU"/>
        </w:rPr>
        <w:t xml:space="preserve">В 2013 году фактически </w:t>
      </w:r>
      <w:r w:rsidRPr="00EA3E72">
        <w:rPr>
          <w:rFonts w:ascii="Times New Roman" w:eastAsia="Times New Roman" w:hAnsi="Times New Roman" w:cs="Times New Roman"/>
          <w:b/>
          <w:i/>
          <w:sz w:val="24"/>
          <w:szCs w:val="24"/>
          <w:lang w:eastAsia="ru-RU"/>
        </w:rPr>
        <w:t>не осуществлялся</w:t>
      </w:r>
      <w:r w:rsidRPr="00F333DB">
        <w:rPr>
          <w:rFonts w:ascii="Times New Roman" w:eastAsia="Times New Roman" w:hAnsi="Times New Roman" w:cs="Times New Roman"/>
          <w:sz w:val="24"/>
          <w:szCs w:val="24"/>
          <w:lang w:eastAsia="ru-RU"/>
        </w:rPr>
        <w:t xml:space="preserve"> внутренний финансовый контроль </w:t>
      </w:r>
      <w:r w:rsidRPr="00F333DB">
        <w:rPr>
          <w:rFonts w:ascii="Times New Roman" w:eastAsia="Times New Roman" w:hAnsi="Times New Roman" w:cs="Times New Roman"/>
          <w:b/>
          <w:i/>
          <w:sz w:val="24"/>
          <w:szCs w:val="24"/>
          <w:lang w:eastAsia="ru-RU"/>
        </w:rPr>
        <w:t>управлением информатизации и управлением ветеринарии области</w:t>
      </w:r>
      <w:r w:rsidRPr="00F333DB">
        <w:rPr>
          <w:rFonts w:ascii="Times New Roman" w:eastAsia="Times New Roman" w:hAnsi="Times New Roman" w:cs="Times New Roman"/>
          <w:sz w:val="24"/>
          <w:szCs w:val="24"/>
          <w:lang w:eastAsia="ru-RU"/>
        </w:rPr>
        <w:t>.</w:t>
      </w:r>
    </w:p>
    <w:p w:rsidR="00F333DB" w:rsidRPr="00F333DB" w:rsidRDefault="00F333DB" w:rsidP="00F333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3DB">
        <w:rPr>
          <w:rFonts w:ascii="Times New Roman" w:eastAsia="Times New Roman" w:hAnsi="Times New Roman" w:cs="Times New Roman"/>
          <w:sz w:val="24"/>
          <w:szCs w:val="24"/>
          <w:lang w:eastAsia="ru-RU"/>
        </w:rPr>
        <w:t xml:space="preserve">Крайне </w:t>
      </w:r>
      <w:r w:rsidRPr="00F333DB">
        <w:rPr>
          <w:rFonts w:ascii="Times New Roman" w:eastAsia="Times New Roman" w:hAnsi="Times New Roman" w:cs="Times New Roman"/>
          <w:b/>
          <w:i/>
          <w:sz w:val="24"/>
          <w:szCs w:val="24"/>
          <w:lang w:eastAsia="ru-RU"/>
        </w:rPr>
        <w:t>низкий уровень</w:t>
      </w:r>
      <w:r w:rsidRPr="00F333DB">
        <w:rPr>
          <w:rFonts w:ascii="Times New Roman" w:eastAsia="Times New Roman" w:hAnsi="Times New Roman" w:cs="Times New Roman"/>
          <w:sz w:val="24"/>
          <w:szCs w:val="24"/>
          <w:lang w:eastAsia="ru-RU"/>
        </w:rPr>
        <w:t xml:space="preserve"> исполнения бюджетных полномочий по обеспечению внутреннего финансового контроля - в </w:t>
      </w:r>
      <w:r w:rsidRPr="00F333DB">
        <w:rPr>
          <w:rFonts w:ascii="Times New Roman" w:eastAsia="Times New Roman" w:hAnsi="Times New Roman" w:cs="Times New Roman"/>
          <w:b/>
          <w:i/>
          <w:sz w:val="24"/>
          <w:szCs w:val="24"/>
          <w:lang w:eastAsia="ru-RU"/>
        </w:rPr>
        <w:t>министерстве образования и науки, министерстве пожарной безопасности и гражданской защиты, министерстве по физической культуре и спорту, министерстве социальной защиты населения и управлении лесного хозяйства.</w:t>
      </w:r>
    </w:p>
    <w:p w:rsidR="00F333DB" w:rsidRPr="00F333DB" w:rsidRDefault="00F333DB" w:rsidP="00F333DB">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F333DB">
        <w:rPr>
          <w:rFonts w:ascii="Times New Roman" w:eastAsia="Times New Roman" w:hAnsi="Times New Roman" w:cs="Times New Roman"/>
          <w:b/>
          <w:i/>
          <w:sz w:val="24"/>
          <w:szCs w:val="24"/>
          <w:lang w:eastAsia="ru-RU"/>
        </w:rPr>
        <w:t>Требует качественного улучшения</w:t>
      </w:r>
      <w:r w:rsidRPr="00F333DB">
        <w:rPr>
          <w:rFonts w:ascii="Times New Roman" w:eastAsia="Times New Roman" w:hAnsi="Times New Roman" w:cs="Times New Roman"/>
          <w:sz w:val="24"/>
          <w:szCs w:val="24"/>
          <w:lang w:eastAsia="ru-RU"/>
        </w:rPr>
        <w:t xml:space="preserve"> организация деятельности и повышение эффективности работа в </w:t>
      </w:r>
      <w:r w:rsidRPr="00F333DB">
        <w:rPr>
          <w:rFonts w:ascii="Times New Roman" w:eastAsia="Times New Roman" w:hAnsi="Times New Roman" w:cs="Times New Roman"/>
          <w:b/>
          <w:i/>
          <w:sz w:val="24"/>
          <w:szCs w:val="24"/>
          <w:lang w:eastAsia="ru-RU"/>
        </w:rPr>
        <w:t>министерстве здравоохранения, министерстве культуры и архивного дела, министерстве сельского хозяйства.</w:t>
      </w:r>
    </w:p>
    <w:p w:rsidR="00F333DB" w:rsidRDefault="00F333DB" w:rsidP="004329F0">
      <w:pPr>
        <w:spacing w:after="0" w:line="240" w:lineRule="auto"/>
        <w:ind w:firstLine="709"/>
        <w:jc w:val="both"/>
        <w:rPr>
          <w:rFonts w:ascii="Times New Roman" w:eastAsia="Times New Roman" w:hAnsi="Times New Roman" w:cs="Times New Roman"/>
          <w:b/>
          <w:sz w:val="24"/>
          <w:szCs w:val="24"/>
          <w:lang w:eastAsia="ru-RU"/>
        </w:rPr>
      </w:pPr>
    </w:p>
    <w:p w:rsidR="00B70828" w:rsidRDefault="00DB49FB" w:rsidP="00DB49FB">
      <w:pPr>
        <w:spacing w:after="0" w:line="240" w:lineRule="auto"/>
        <w:ind w:firstLine="709"/>
        <w:jc w:val="both"/>
        <w:rPr>
          <w:rFonts w:ascii="Times New Roman" w:hAnsi="Times New Roman" w:cs="Times New Roman"/>
          <w:sz w:val="24"/>
          <w:szCs w:val="24"/>
        </w:rPr>
      </w:pPr>
      <w:r w:rsidRPr="00DB49FB">
        <w:rPr>
          <w:rFonts w:ascii="Times New Roman" w:hAnsi="Times New Roman" w:cs="Times New Roman"/>
          <w:sz w:val="24"/>
          <w:szCs w:val="24"/>
        </w:rPr>
        <w:t xml:space="preserve">Подготовленное заключение на </w:t>
      </w:r>
      <w:r>
        <w:rPr>
          <w:rFonts w:ascii="Times New Roman" w:hAnsi="Times New Roman" w:cs="Times New Roman"/>
          <w:sz w:val="24"/>
          <w:szCs w:val="24"/>
        </w:rPr>
        <w:t>проект закона Амурской области «О</w:t>
      </w:r>
      <w:r w:rsidRPr="00DB49FB">
        <w:rPr>
          <w:rFonts w:ascii="Times New Roman" w:hAnsi="Times New Roman" w:cs="Times New Roman"/>
          <w:sz w:val="24"/>
          <w:szCs w:val="24"/>
        </w:rPr>
        <w:t xml:space="preserve">б исполнении областного бюджета за </w:t>
      </w:r>
      <w:r>
        <w:rPr>
          <w:rFonts w:ascii="Times New Roman" w:hAnsi="Times New Roman" w:cs="Times New Roman"/>
          <w:sz w:val="24"/>
          <w:szCs w:val="24"/>
        </w:rPr>
        <w:t>2013 год»</w:t>
      </w:r>
      <w:r w:rsidRPr="00DB49FB">
        <w:rPr>
          <w:rFonts w:ascii="Times New Roman" w:hAnsi="Times New Roman" w:cs="Times New Roman"/>
          <w:sz w:val="24"/>
          <w:szCs w:val="24"/>
        </w:rPr>
        <w:t xml:space="preserve"> направлено губернатору Амурской области</w:t>
      </w:r>
      <w:r>
        <w:rPr>
          <w:rFonts w:ascii="Times New Roman" w:hAnsi="Times New Roman" w:cs="Times New Roman"/>
          <w:sz w:val="24"/>
          <w:szCs w:val="24"/>
        </w:rPr>
        <w:t>,</w:t>
      </w:r>
      <w:r w:rsidRPr="00DB49FB">
        <w:rPr>
          <w:rFonts w:ascii="Times New Roman" w:hAnsi="Times New Roman" w:cs="Times New Roman"/>
          <w:sz w:val="24"/>
          <w:szCs w:val="24"/>
        </w:rPr>
        <w:t xml:space="preserve"> в Законодательное Собрание Амурской </w:t>
      </w:r>
      <w:r>
        <w:rPr>
          <w:rFonts w:ascii="Times New Roman" w:hAnsi="Times New Roman" w:cs="Times New Roman"/>
          <w:sz w:val="24"/>
          <w:szCs w:val="24"/>
        </w:rPr>
        <w:t xml:space="preserve">области с предложением о возможности </w:t>
      </w:r>
      <w:r w:rsidRPr="00DB49FB">
        <w:rPr>
          <w:rFonts w:ascii="Times New Roman" w:eastAsia="Times New Roman" w:hAnsi="Times New Roman" w:cs="Times New Roman"/>
          <w:sz w:val="24"/>
          <w:szCs w:val="24"/>
          <w:lang w:eastAsia="ru-RU"/>
        </w:rPr>
        <w:t>принятия проекта закона Амурской области «Об исполнении областного бюджета за 2013 год» в первом чтении</w:t>
      </w:r>
      <w:r w:rsidR="00B70828">
        <w:rPr>
          <w:rFonts w:ascii="Times New Roman" w:hAnsi="Times New Roman" w:cs="Times New Roman"/>
          <w:sz w:val="24"/>
          <w:szCs w:val="24"/>
        </w:rPr>
        <w:t>.</w:t>
      </w:r>
    </w:p>
    <w:p w:rsidR="00DB49FB" w:rsidRPr="00DB49FB" w:rsidRDefault="00B70828" w:rsidP="00DB49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B49FB" w:rsidRPr="00DB49FB">
        <w:rPr>
          <w:rFonts w:ascii="Times New Roman" w:eastAsia="Times New Roman" w:hAnsi="Times New Roman" w:cs="Times New Roman"/>
          <w:sz w:val="24"/>
          <w:szCs w:val="24"/>
          <w:lang w:eastAsia="ru-RU"/>
        </w:rPr>
        <w:t xml:space="preserve"> целях устранения отмеченных в заключени</w:t>
      </w:r>
      <w:proofErr w:type="gramStart"/>
      <w:r w:rsidR="00DB49FB" w:rsidRPr="00DB49FB">
        <w:rPr>
          <w:rFonts w:ascii="Times New Roman" w:eastAsia="Times New Roman" w:hAnsi="Times New Roman" w:cs="Times New Roman"/>
          <w:sz w:val="24"/>
          <w:szCs w:val="24"/>
          <w:lang w:eastAsia="ru-RU"/>
        </w:rPr>
        <w:t>и</w:t>
      </w:r>
      <w:proofErr w:type="gramEnd"/>
      <w:r w:rsidR="00DB49FB" w:rsidRPr="00DB49FB">
        <w:rPr>
          <w:rFonts w:ascii="Times New Roman" w:eastAsia="Times New Roman" w:hAnsi="Times New Roman" w:cs="Times New Roman"/>
          <w:sz w:val="24"/>
          <w:szCs w:val="24"/>
          <w:lang w:eastAsia="ru-RU"/>
        </w:rPr>
        <w:t xml:space="preserve"> замечаний и недопущении их при исполнении бюджета текущего года и будущих периодов</w:t>
      </w:r>
      <w:r>
        <w:rPr>
          <w:rFonts w:ascii="Times New Roman" w:eastAsia="Times New Roman" w:hAnsi="Times New Roman" w:cs="Times New Roman"/>
          <w:sz w:val="24"/>
          <w:szCs w:val="24"/>
          <w:lang w:eastAsia="ru-RU"/>
        </w:rPr>
        <w:t xml:space="preserve"> контрольно-счетная п</w:t>
      </w:r>
      <w:r w:rsidR="00321CA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лата Амурской области внесла следующие </w:t>
      </w:r>
      <w:r w:rsidR="00DB49FB" w:rsidRPr="00DB49FB">
        <w:rPr>
          <w:rFonts w:ascii="Times New Roman" w:eastAsia="Times New Roman" w:hAnsi="Times New Roman" w:cs="Times New Roman"/>
          <w:sz w:val="24"/>
          <w:szCs w:val="24"/>
          <w:lang w:eastAsia="ru-RU"/>
        </w:rPr>
        <w:t>предлож</w:t>
      </w:r>
      <w:r>
        <w:rPr>
          <w:rFonts w:ascii="Times New Roman" w:eastAsia="Times New Roman" w:hAnsi="Times New Roman" w:cs="Times New Roman"/>
          <w:sz w:val="24"/>
          <w:szCs w:val="24"/>
          <w:lang w:eastAsia="ru-RU"/>
        </w:rPr>
        <w:t>ения</w:t>
      </w:r>
      <w:r w:rsidR="00DB49FB" w:rsidRPr="00DB49FB">
        <w:rPr>
          <w:rFonts w:ascii="Times New Roman" w:eastAsia="Times New Roman" w:hAnsi="Times New Roman" w:cs="Times New Roman"/>
          <w:sz w:val="24"/>
          <w:szCs w:val="24"/>
          <w:lang w:eastAsia="ru-RU"/>
        </w:rPr>
        <w:t>:</w:t>
      </w:r>
    </w:p>
    <w:p w:rsidR="006D1CED" w:rsidRPr="00A55C07" w:rsidRDefault="006D1CED" w:rsidP="006D1CED">
      <w:pPr>
        <w:widowControl w:val="0"/>
        <w:tabs>
          <w:tab w:val="left" w:pos="70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6D1CED" w:rsidRPr="00BC2A09" w:rsidRDefault="006D1CED" w:rsidP="006D1CE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C2A09">
        <w:rPr>
          <w:rFonts w:ascii="Times New Roman" w:eastAsia="Times New Roman" w:hAnsi="Times New Roman" w:cs="Times New Roman"/>
          <w:b/>
          <w:sz w:val="24"/>
          <w:szCs w:val="24"/>
          <w:lang w:eastAsia="ru-RU"/>
        </w:rPr>
        <w:t>Правительству Амурской области:</w:t>
      </w:r>
    </w:p>
    <w:p w:rsidR="006D1CED" w:rsidRPr="007B7422" w:rsidRDefault="006D1CED" w:rsidP="006D1CED">
      <w:pPr>
        <w:pStyle w:val="afa"/>
        <w:numPr>
          <w:ilvl w:val="0"/>
          <w:numId w:val="47"/>
        </w:numPr>
        <w:tabs>
          <w:tab w:val="left" w:pos="709"/>
          <w:tab w:val="left" w:pos="1134"/>
          <w:tab w:val="left" w:pos="1418"/>
        </w:tabs>
        <w:ind w:left="0" w:firstLine="709"/>
        <w:jc w:val="both"/>
        <w:rPr>
          <w:sz w:val="24"/>
          <w:szCs w:val="24"/>
        </w:rPr>
      </w:pPr>
      <w:r w:rsidRPr="007A4C90">
        <w:rPr>
          <w:sz w:val="24"/>
          <w:szCs w:val="24"/>
        </w:rPr>
        <w:t xml:space="preserve">Рассмотреть вопрос о повышении достоверности прогнозирования доходов областного </w:t>
      </w:r>
      <w:r w:rsidRPr="007B7422">
        <w:rPr>
          <w:sz w:val="24"/>
          <w:szCs w:val="24"/>
        </w:rPr>
        <w:t>бюджета и эффективности администрирования закрепленных доходов.</w:t>
      </w:r>
    </w:p>
    <w:p w:rsidR="006D1CED" w:rsidRPr="007B7422" w:rsidRDefault="006D1CED" w:rsidP="006D1CED">
      <w:pPr>
        <w:pStyle w:val="afa"/>
        <w:numPr>
          <w:ilvl w:val="0"/>
          <w:numId w:val="47"/>
        </w:numPr>
        <w:tabs>
          <w:tab w:val="left" w:pos="1134"/>
        </w:tabs>
        <w:ind w:left="0" w:firstLine="709"/>
        <w:jc w:val="both"/>
        <w:rPr>
          <w:sz w:val="24"/>
          <w:szCs w:val="24"/>
        </w:rPr>
      </w:pPr>
      <w:r w:rsidRPr="007B7422">
        <w:rPr>
          <w:sz w:val="24"/>
          <w:szCs w:val="24"/>
        </w:rPr>
        <w:t>Продолжить работу по реализации комплекса дополнительных мер, направленных на развитие доходного потенциала области, позволяющих обеспечить исполнение расходных обязательств, а также снижени</w:t>
      </w:r>
      <w:r>
        <w:rPr>
          <w:sz w:val="24"/>
          <w:szCs w:val="24"/>
        </w:rPr>
        <w:t>е</w:t>
      </w:r>
      <w:r w:rsidRPr="007B7422">
        <w:rPr>
          <w:sz w:val="24"/>
          <w:szCs w:val="24"/>
        </w:rPr>
        <w:t xml:space="preserve"> дефицита бюджета, повышени</w:t>
      </w:r>
      <w:r>
        <w:rPr>
          <w:sz w:val="24"/>
          <w:szCs w:val="24"/>
        </w:rPr>
        <w:t>е</w:t>
      </w:r>
      <w:r w:rsidRPr="007B7422">
        <w:rPr>
          <w:sz w:val="24"/>
          <w:szCs w:val="24"/>
        </w:rPr>
        <w:t xml:space="preserve"> эффективности управления внутренними заимствованиями области с целью снижения долговой нагрузки на областной бюджет, </w:t>
      </w:r>
      <w:r>
        <w:rPr>
          <w:sz w:val="24"/>
          <w:szCs w:val="24"/>
        </w:rPr>
        <w:t xml:space="preserve">обеспечить </w:t>
      </w:r>
      <w:r w:rsidRPr="007B7422">
        <w:rPr>
          <w:sz w:val="24"/>
          <w:szCs w:val="24"/>
        </w:rPr>
        <w:t>выполнени</w:t>
      </w:r>
      <w:r>
        <w:rPr>
          <w:sz w:val="24"/>
          <w:szCs w:val="24"/>
        </w:rPr>
        <w:t xml:space="preserve">е </w:t>
      </w:r>
      <w:r w:rsidRPr="007B7422">
        <w:rPr>
          <w:sz w:val="24"/>
          <w:szCs w:val="24"/>
        </w:rPr>
        <w:t>Плана мероприятий по повышению поступлений налоговых и неналоговых доходов бюджета Амурской области, а также по снижению долговой нагрузки областного бюджета на 2013-2015 годы, утвержденного распоряжением Правительства Амурской области от 10.06.2013 № 78-р.</w:t>
      </w:r>
    </w:p>
    <w:p w:rsidR="006D1CED" w:rsidRDefault="006D1CED" w:rsidP="006D1CED">
      <w:pPr>
        <w:pStyle w:val="afa"/>
        <w:numPr>
          <w:ilvl w:val="0"/>
          <w:numId w:val="47"/>
        </w:numPr>
        <w:tabs>
          <w:tab w:val="left" w:pos="1134"/>
        </w:tabs>
        <w:ind w:left="0" w:firstLine="709"/>
        <w:jc w:val="both"/>
        <w:rPr>
          <w:sz w:val="24"/>
          <w:szCs w:val="24"/>
        </w:rPr>
      </w:pPr>
      <w:r>
        <w:rPr>
          <w:sz w:val="24"/>
          <w:szCs w:val="24"/>
        </w:rPr>
        <w:t xml:space="preserve">Обязать </w:t>
      </w:r>
      <w:r w:rsidRPr="00B061D1">
        <w:rPr>
          <w:sz w:val="24"/>
          <w:szCs w:val="24"/>
        </w:rPr>
        <w:t xml:space="preserve">главных распорядителей </w:t>
      </w:r>
      <w:r>
        <w:rPr>
          <w:sz w:val="24"/>
          <w:szCs w:val="24"/>
        </w:rPr>
        <w:t>бюджетных средств принять необходимые меры по п</w:t>
      </w:r>
      <w:r w:rsidRPr="00B061D1">
        <w:rPr>
          <w:sz w:val="24"/>
          <w:szCs w:val="24"/>
        </w:rPr>
        <w:t>овы</w:t>
      </w:r>
      <w:r>
        <w:rPr>
          <w:sz w:val="24"/>
          <w:szCs w:val="24"/>
        </w:rPr>
        <w:t xml:space="preserve">шению </w:t>
      </w:r>
      <w:r w:rsidRPr="00B061D1">
        <w:rPr>
          <w:sz w:val="24"/>
          <w:szCs w:val="24"/>
        </w:rPr>
        <w:t>ответственност</w:t>
      </w:r>
      <w:r>
        <w:rPr>
          <w:sz w:val="24"/>
          <w:szCs w:val="24"/>
        </w:rPr>
        <w:t>и</w:t>
      </w:r>
      <w:r w:rsidRPr="00B061D1">
        <w:rPr>
          <w:sz w:val="24"/>
          <w:szCs w:val="24"/>
        </w:rPr>
        <w:t xml:space="preserve"> </w:t>
      </w:r>
      <w:r>
        <w:rPr>
          <w:sz w:val="24"/>
          <w:szCs w:val="24"/>
        </w:rPr>
        <w:t>за</w:t>
      </w:r>
      <w:r w:rsidRPr="00B061D1">
        <w:rPr>
          <w:sz w:val="24"/>
          <w:szCs w:val="24"/>
        </w:rPr>
        <w:t xml:space="preserve"> исполнени</w:t>
      </w:r>
      <w:r>
        <w:rPr>
          <w:sz w:val="24"/>
          <w:szCs w:val="24"/>
        </w:rPr>
        <w:t>е</w:t>
      </w:r>
      <w:r w:rsidRPr="00B061D1">
        <w:rPr>
          <w:sz w:val="24"/>
          <w:szCs w:val="24"/>
        </w:rPr>
        <w:t xml:space="preserve"> полномочий, связанных с обеспечением </w:t>
      </w:r>
      <w:r w:rsidRPr="00B061D1">
        <w:rPr>
          <w:sz w:val="24"/>
          <w:szCs w:val="24"/>
        </w:rPr>
        <w:lastRenderedPageBreak/>
        <w:t xml:space="preserve">результативности использования бюджетных </w:t>
      </w:r>
      <w:r w:rsidRPr="00B762A7">
        <w:rPr>
          <w:sz w:val="24"/>
          <w:szCs w:val="24"/>
        </w:rPr>
        <w:t xml:space="preserve">средств, предусмотренных </w:t>
      </w:r>
      <w:r w:rsidRPr="00B061D1">
        <w:rPr>
          <w:sz w:val="24"/>
          <w:szCs w:val="24"/>
        </w:rPr>
        <w:t>на реализацию мероприятий государственных программ, соблюдением получателями субсидий условий, целей и порядка, установленных при их предоставлении, а также</w:t>
      </w:r>
      <w:r>
        <w:rPr>
          <w:sz w:val="24"/>
          <w:szCs w:val="24"/>
        </w:rPr>
        <w:t xml:space="preserve"> обеспечением качественной</w:t>
      </w:r>
      <w:r w:rsidRPr="00B061D1">
        <w:rPr>
          <w:sz w:val="24"/>
          <w:szCs w:val="24"/>
        </w:rPr>
        <w:t xml:space="preserve"> разработк</w:t>
      </w:r>
      <w:r>
        <w:rPr>
          <w:sz w:val="24"/>
          <w:szCs w:val="24"/>
        </w:rPr>
        <w:t xml:space="preserve">и </w:t>
      </w:r>
      <w:r w:rsidRPr="00B061D1">
        <w:rPr>
          <w:sz w:val="24"/>
          <w:szCs w:val="24"/>
        </w:rPr>
        <w:t>нормативных правовых актов, регулирующих порядки предоставления средств субсидий, выделяемых в р</w:t>
      </w:r>
      <w:r>
        <w:rPr>
          <w:sz w:val="24"/>
          <w:szCs w:val="24"/>
        </w:rPr>
        <w:t>амках государственных программ.</w:t>
      </w:r>
    </w:p>
    <w:p w:rsidR="006D1CED" w:rsidRPr="00000C05" w:rsidRDefault="006D1CED" w:rsidP="006D1CED">
      <w:pPr>
        <w:pStyle w:val="afa"/>
        <w:numPr>
          <w:ilvl w:val="0"/>
          <w:numId w:val="47"/>
        </w:numPr>
        <w:tabs>
          <w:tab w:val="left" w:pos="1134"/>
        </w:tabs>
        <w:ind w:left="0" w:firstLine="709"/>
        <w:jc w:val="both"/>
        <w:rPr>
          <w:sz w:val="24"/>
          <w:szCs w:val="24"/>
        </w:rPr>
      </w:pPr>
      <w:r>
        <w:rPr>
          <w:sz w:val="24"/>
          <w:szCs w:val="24"/>
        </w:rPr>
        <w:t xml:space="preserve">Принять меры по </w:t>
      </w:r>
      <w:r w:rsidRPr="00000C05">
        <w:rPr>
          <w:sz w:val="24"/>
          <w:szCs w:val="24"/>
        </w:rPr>
        <w:t>соблюдени</w:t>
      </w:r>
      <w:r>
        <w:rPr>
          <w:sz w:val="24"/>
          <w:szCs w:val="24"/>
        </w:rPr>
        <w:t>ю</w:t>
      </w:r>
      <w:r w:rsidRPr="00000C05">
        <w:rPr>
          <w:sz w:val="24"/>
          <w:szCs w:val="24"/>
        </w:rPr>
        <w:t xml:space="preserve"> условий соглашений, заключенных с федеральными органами власти, в части установленного уровня софинансирования за счет средств областного бюджета объектов капитального строительства государственной собственности области, финансирование которых осуществляется на условиях софинансирования с федеральным бюджетом, в целях исключения возможности принятия решений о приостановлении или прекращении перечисления субсидий из федерального бюджета.</w:t>
      </w:r>
    </w:p>
    <w:p w:rsidR="006D1CED" w:rsidRPr="00D71A0D" w:rsidRDefault="006D1CED" w:rsidP="006D1CED">
      <w:pPr>
        <w:pStyle w:val="afa"/>
        <w:numPr>
          <w:ilvl w:val="0"/>
          <w:numId w:val="47"/>
        </w:numPr>
        <w:tabs>
          <w:tab w:val="left" w:pos="1134"/>
        </w:tabs>
        <w:ind w:left="0" w:firstLine="709"/>
        <w:jc w:val="both"/>
        <w:rPr>
          <w:sz w:val="24"/>
          <w:szCs w:val="24"/>
        </w:rPr>
      </w:pPr>
      <w:r w:rsidRPr="00D71A0D">
        <w:rPr>
          <w:sz w:val="24"/>
          <w:szCs w:val="24"/>
        </w:rPr>
        <w:t xml:space="preserve">Обязать руководителей министерств и управлений - главных распорядителей средств областного бюджета </w:t>
      </w:r>
      <w:r w:rsidRPr="00914EA3">
        <w:rPr>
          <w:sz w:val="24"/>
          <w:szCs w:val="24"/>
        </w:rPr>
        <w:t xml:space="preserve">в части расходов на </w:t>
      </w:r>
      <w:r>
        <w:rPr>
          <w:sz w:val="24"/>
          <w:szCs w:val="24"/>
        </w:rPr>
        <w:t xml:space="preserve">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собственности области, </w:t>
      </w:r>
      <w:r w:rsidRPr="00D71A0D">
        <w:rPr>
          <w:sz w:val="24"/>
          <w:szCs w:val="24"/>
        </w:rPr>
        <w:t xml:space="preserve">обеспечить своевременный и действенный контроль за освоением в полном объеме </w:t>
      </w:r>
      <w:r>
        <w:rPr>
          <w:sz w:val="24"/>
          <w:szCs w:val="24"/>
        </w:rPr>
        <w:t xml:space="preserve">выделяемых бюджетных </w:t>
      </w:r>
      <w:r w:rsidRPr="00D71A0D">
        <w:rPr>
          <w:sz w:val="24"/>
          <w:szCs w:val="24"/>
        </w:rPr>
        <w:t>средств, повысить требовательность за выполнением обязательств, принимаемых в рамках заключенных государственных контрактов, включая предъявление исков на взыскание штрафных санкций, расторжение заключенных государственных контрактов, в том</w:t>
      </w:r>
      <w:r>
        <w:rPr>
          <w:sz w:val="24"/>
          <w:szCs w:val="24"/>
        </w:rPr>
        <w:t xml:space="preserve"> числе по решениям</w:t>
      </w:r>
      <w:r w:rsidRPr="00D71A0D">
        <w:rPr>
          <w:sz w:val="24"/>
          <w:szCs w:val="24"/>
        </w:rPr>
        <w:t xml:space="preserve"> судов в связи с существенным нарушением </w:t>
      </w:r>
      <w:r>
        <w:rPr>
          <w:sz w:val="24"/>
          <w:szCs w:val="24"/>
        </w:rPr>
        <w:t xml:space="preserve">условий </w:t>
      </w:r>
      <w:r w:rsidRPr="00D71A0D">
        <w:rPr>
          <w:sz w:val="24"/>
          <w:szCs w:val="24"/>
        </w:rPr>
        <w:t>контрактов</w:t>
      </w:r>
      <w:r>
        <w:rPr>
          <w:sz w:val="24"/>
          <w:szCs w:val="24"/>
        </w:rPr>
        <w:t>.</w:t>
      </w:r>
    </w:p>
    <w:p w:rsidR="006D1CED" w:rsidRPr="00000C05" w:rsidRDefault="006D1CED" w:rsidP="006D1CED">
      <w:pPr>
        <w:pStyle w:val="afa"/>
        <w:numPr>
          <w:ilvl w:val="0"/>
          <w:numId w:val="47"/>
        </w:numPr>
        <w:tabs>
          <w:tab w:val="left" w:pos="1134"/>
        </w:tabs>
        <w:ind w:left="0" w:firstLine="709"/>
        <w:jc w:val="both"/>
        <w:outlineLvl w:val="3"/>
        <w:rPr>
          <w:sz w:val="24"/>
          <w:szCs w:val="24"/>
        </w:rPr>
      </w:pPr>
      <w:r w:rsidRPr="00000C05">
        <w:rPr>
          <w:sz w:val="24"/>
          <w:szCs w:val="24"/>
        </w:rPr>
        <w:t xml:space="preserve">Обязать руководителей министерств и управлений - главных распорядителей средств областного бюджета, принять меры по обеспечению в полном объеме бюджетных полномочий главных распорядителей бюджетных средств по организации и осуществлению </w:t>
      </w:r>
      <w:r w:rsidRPr="00A04E7F">
        <w:rPr>
          <w:sz w:val="24"/>
          <w:szCs w:val="24"/>
        </w:rPr>
        <w:t>внутреннего финансового контроля и</w:t>
      </w:r>
      <w:r>
        <w:rPr>
          <w:sz w:val="24"/>
          <w:szCs w:val="24"/>
        </w:rPr>
        <w:t xml:space="preserve"> внутреннего финансового аудита</w:t>
      </w:r>
      <w:r w:rsidRPr="00000C05">
        <w:rPr>
          <w:sz w:val="24"/>
          <w:szCs w:val="24"/>
        </w:rPr>
        <w:t>.</w:t>
      </w:r>
    </w:p>
    <w:p w:rsidR="006D1CED" w:rsidRDefault="006D1CED" w:rsidP="006D1CE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D1CED" w:rsidRPr="00AF2A9E" w:rsidRDefault="006D1CED" w:rsidP="006D1CE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F2A9E">
        <w:rPr>
          <w:rFonts w:ascii="Times New Roman" w:eastAsia="Times New Roman" w:hAnsi="Times New Roman" w:cs="Times New Roman"/>
          <w:b/>
          <w:sz w:val="24"/>
          <w:szCs w:val="24"/>
          <w:lang w:eastAsia="ru-RU"/>
        </w:rPr>
        <w:t>Министерству финансов Амурской области:</w:t>
      </w:r>
    </w:p>
    <w:p w:rsidR="006D1CED" w:rsidRDefault="006D1CED" w:rsidP="006D1CED">
      <w:pPr>
        <w:pStyle w:val="afa"/>
        <w:numPr>
          <w:ilvl w:val="0"/>
          <w:numId w:val="49"/>
        </w:numPr>
        <w:tabs>
          <w:tab w:val="left" w:pos="851"/>
          <w:tab w:val="left" w:pos="1134"/>
          <w:tab w:val="left" w:pos="1418"/>
        </w:tabs>
        <w:ind w:left="0" w:firstLine="709"/>
        <w:jc w:val="both"/>
        <w:rPr>
          <w:sz w:val="24"/>
          <w:szCs w:val="24"/>
        </w:rPr>
      </w:pPr>
      <w:r w:rsidRPr="00325EB7">
        <w:rPr>
          <w:sz w:val="24"/>
          <w:szCs w:val="24"/>
        </w:rPr>
        <w:t xml:space="preserve">В целях эффективного, равномерного и </w:t>
      </w:r>
      <w:r>
        <w:rPr>
          <w:sz w:val="24"/>
          <w:szCs w:val="24"/>
        </w:rPr>
        <w:t>своевремен</w:t>
      </w:r>
      <w:r w:rsidRPr="00325EB7">
        <w:rPr>
          <w:sz w:val="24"/>
          <w:szCs w:val="24"/>
        </w:rPr>
        <w:t>ного расходования средств областного бюджета продолжить работу с главными распорядителями средств областного бюджета, направ</w:t>
      </w:r>
      <w:r>
        <w:rPr>
          <w:sz w:val="24"/>
          <w:szCs w:val="24"/>
        </w:rPr>
        <w:t xml:space="preserve">ленную на сокращение в течение </w:t>
      </w:r>
      <w:r w:rsidRPr="00325EB7">
        <w:rPr>
          <w:sz w:val="24"/>
          <w:szCs w:val="24"/>
        </w:rPr>
        <w:t>финансового года остатков, в том числе целевых средств, поступивших из федерального бюджета, учитываемых на их лицевых счетах.</w:t>
      </w:r>
    </w:p>
    <w:p w:rsidR="006D1CED" w:rsidRPr="009425F5" w:rsidRDefault="006D1CED" w:rsidP="006D1CED">
      <w:pPr>
        <w:pStyle w:val="afa"/>
        <w:numPr>
          <w:ilvl w:val="0"/>
          <w:numId w:val="49"/>
        </w:numPr>
        <w:tabs>
          <w:tab w:val="left" w:pos="851"/>
          <w:tab w:val="left" w:pos="1134"/>
          <w:tab w:val="left" w:pos="1418"/>
        </w:tabs>
        <w:ind w:left="0" w:firstLine="709"/>
        <w:jc w:val="both"/>
        <w:rPr>
          <w:sz w:val="24"/>
          <w:szCs w:val="24"/>
        </w:rPr>
      </w:pPr>
      <w:r w:rsidRPr="009425F5">
        <w:rPr>
          <w:sz w:val="24"/>
          <w:szCs w:val="24"/>
        </w:rPr>
        <w:t>Ко второму чтению проекта закона Амурской области «Об исполнении областного бюджета за 2013 год»:</w:t>
      </w:r>
    </w:p>
    <w:p w:rsidR="006D1CED" w:rsidRPr="009425F5" w:rsidRDefault="006D1CED" w:rsidP="006D1CED">
      <w:pPr>
        <w:pStyle w:val="afa"/>
        <w:numPr>
          <w:ilvl w:val="0"/>
          <w:numId w:val="48"/>
        </w:numPr>
        <w:tabs>
          <w:tab w:val="left" w:pos="851"/>
          <w:tab w:val="left" w:pos="993"/>
          <w:tab w:val="left" w:pos="1418"/>
        </w:tabs>
        <w:ind w:left="0" w:firstLine="709"/>
        <w:jc w:val="both"/>
        <w:rPr>
          <w:sz w:val="24"/>
          <w:szCs w:val="24"/>
        </w:rPr>
      </w:pPr>
      <w:r w:rsidRPr="009425F5">
        <w:rPr>
          <w:sz w:val="24"/>
          <w:szCs w:val="24"/>
        </w:rPr>
        <w:t>внести изменения в приложение № 1 «Исполнение по доходам областного бюджета по кодам классификации доходов бюджетов за 2013 год», приложение № 2 «Исполнение по доходам областного бюджета по кодам видов доходов, подвидов доходов, классификации операций сектора государственного управления, относящихся к доходам бюджета, за 2013 год»</w:t>
      </w:r>
      <w:r>
        <w:rPr>
          <w:sz w:val="24"/>
          <w:szCs w:val="24"/>
        </w:rPr>
        <w:t xml:space="preserve">, приложение </w:t>
      </w:r>
      <w:r w:rsidRPr="00D261AC">
        <w:rPr>
          <w:sz w:val="24"/>
          <w:szCs w:val="24"/>
        </w:rPr>
        <w:t>№ 5 «Исполнение по ведомственной структуре расходов областного бюджета за 2013 год»</w:t>
      </w:r>
      <w:r w:rsidRPr="009425F5">
        <w:rPr>
          <w:sz w:val="24"/>
          <w:szCs w:val="24"/>
        </w:rPr>
        <w:t xml:space="preserve"> в части устранения арифметичес</w:t>
      </w:r>
      <w:r>
        <w:rPr>
          <w:sz w:val="24"/>
          <w:szCs w:val="24"/>
        </w:rPr>
        <w:t>ких ошибок;</w:t>
      </w:r>
    </w:p>
    <w:p w:rsidR="006D1CED" w:rsidRDefault="006D1CED" w:rsidP="006D1CED">
      <w:pPr>
        <w:pStyle w:val="afa"/>
        <w:numPr>
          <w:ilvl w:val="0"/>
          <w:numId w:val="48"/>
        </w:numPr>
        <w:tabs>
          <w:tab w:val="left" w:pos="993"/>
        </w:tabs>
        <w:ind w:left="0" w:firstLine="709"/>
        <w:jc w:val="both"/>
        <w:rPr>
          <w:sz w:val="24"/>
          <w:szCs w:val="24"/>
        </w:rPr>
      </w:pPr>
      <w:r>
        <w:rPr>
          <w:sz w:val="24"/>
          <w:szCs w:val="24"/>
        </w:rPr>
        <w:t>в</w:t>
      </w:r>
      <w:r w:rsidRPr="004E1D56">
        <w:rPr>
          <w:sz w:val="24"/>
          <w:szCs w:val="24"/>
        </w:rPr>
        <w:t xml:space="preserve"> приложении № 1 «Исполнение по доходам областного бюджета по кодам классификации доходов бюджетов за 2013 год» указать код главного администратора доходов бюджета </w:t>
      </w:r>
      <w:r>
        <w:rPr>
          <w:sz w:val="24"/>
          <w:szCs w:val="24"/>
        </w:rPr>
        <w:t>п</w:t>
      </w:r>
      <w:r w:rsidRPr="004E1D56">
        <w:rPr>
          <w:sz w:val="24"/>
          <w:szCs w:val="24"/>
        </w:rPr>
        <w:t>о акцизам на пиво, производимо</w:t>
      </w:r>
      <w:r>
        <w:rPr>
          <w:sz w:val="24"/>
          <w:szCs w:val="24"/>
        </w:rPr>
        <w:t xml:space="preserve">е </w:t>
      </w:r>
      <w:r w:rsidRPr="004E1D56">
        <w:rPr>
          <w:sz w:val="24"/>
          <w:szCs w:val="24"/>
        </w:rPr>
        <w:t>на территории Российской Федерации (пени и проценты по соответствующему платежу), акцизам на пиво, производимо</w:t>
      </w:r>
      <w:r>
        <w:rPr>
          <w:sz w:val="24"/>
          <w:szCs w:val="24"/>
        </w:rPr>
        <w:t>е</w:t>
      </w:r>
      <w:r w:rsidRPr="004E1D56">
        <w:rPr>
          <w:sz w:val="24"/>
          <w:szCs w:val="24"/>
        </w:rPr>
        <w:t xml:space="preserve"> на территории Российской Федерации (суммы денежных взысканий (штрафов) по соответствующему платежу согласно законодательству Российской Федерации</w:t>
      </w:r>
      <w:r>
        <w:rPr>
          <w:sz w:val="24"/>
          <w:szCs w:val="24"/>
        </w:rPr>
        <w:t>).</w:t>
      </w:r>
    </w:p>
    <w:p w:rsidR="006D1CED" w:rsidRPr="00D7572C" w:rsidRDefault="006D1CED" w:rsidP="006D1CED">
      <w:pPr>
        <w:spacing w:after="0" w:line="240" w:lineRule="auto"/>
        <w:ind w:firstLine="709"/>
        <w:jc w:val="both"/>
        <w:rPr>
          <w:rFonts w:ascii="Times New Roman" w:eastAsia="Times New Roman" w:hAnsi="Times New Roman" w:cs="Times New Roman"/>
          <w:sz w:val="24"/>
          <w:szCs w:val="24"/>
          <w:lang w:eastAsia="ru-RU"/>
        </w:rPr>
      </w:pPr>
    </w:p>
    <w:sectPr w:rsidR="006D1CED" w:rsidRPr="00D7572C" w:rsidSect="00FC22A8">
      <w:footerReference w:type="default" r:id="rId3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D8" w:rsidRDefault="000539D8" w:rsidP="00C84029">
      <w:pPr>
        <w:spacing w:after="0" w:line="240" w:lineRule="auto"/>
      </w:pPr>
      <w:r>
        <w:separator/>
      </w:r>
    </w:p>
  </w:endnote>
  <w:endnote w:type="continuationSeparator" w:id="0">
    <w:p w:rsidR="000539D8" w:rsidRDefault="000539D8" w:rsidP="00C8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83804"/>
      <w:docPartObj>
        <w:docPartGallery w:val="Page Numbers (Bottom of Page)"/>
        <w:docPartUnique/>
      </w:docPartObj>
    </w:sdtPr>
    <w:sdtContent>
      <w:p w:rsidR="00CB47B6" w:rsidRDefault="00CB47B6">
        <w:pPr>
          <w:pStyle w:val="a9"/>
          <w:jc w:val="center"/>
        </w:pPr>
        <w:r>
          <w:fldChar w:fldCharType="begin"/>
        </w:r>
        <w:r>
          <w:instrText>PAGE   \* MERGEFORMAT</w:instrText>
        </w:r>
        <w:r>
          <w:fldChar w:fldCharType="separate"/>
        </w:r>
        <w:r w:rsidR="00FF13B7">
          <w:rPr>
            <w:noProof/>
          </w:rPr>
          <w:t>24</w:t>
        </w:r>
        <w:r>
          <w:rPr>
            <w:noProof/>
          </w:rPr>
          <w:fldChar w:fldCharType="end"/>
        </w:r>
      </w:p>
    </w:sdtContent>
  </w:sdt>
  <w:p w:rsidR="00CB47B6" w:rsidRDefault="00CB47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D8" w:rsidRDefault="000539D8" w:rsidP="00C84029">
      <w:pPr>
        <w:spacing w:after="0" w:line="240" w:lineRule="auto"/>
      </w:pPr>
      <w:r>
        <w:separator/>
      </w:r>
    </w:p>
  </w:footnote>
  <w:footnote w:type="continuationSeparator" w:id="0">
    <w:p w:rsidR="000539D8" w:rsidRDefault="000539D8" w:rsidP="00C84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AC5"/>
    <w:multiLevelType w:val="hybridMultilevel"/>
    <w:tmpl w:val="7D405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96E43"/>
    <w:multiLevelType w:val="hybridMultilevel"/>
    <w:tmpl w:val="909673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3776C"/>
    <w:multiLevelType w:val="hybridMultilevel"/>
    <w:tmpl w:val="7D7EBB5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D94F29"/>
    <w:multiLevelType w:val="hybridMultilevel"/>
    <w:tmpl w:val="30465D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0136A4"/>
    <w:multiLevelType w:val="hybridMultilevel"/>
    <w:tmpl w:val="8A80D580"/>
    <w:lvl w:ilvl="0" w:tplc="C3C028B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CE612E"/>
    <w:multiLevelType w:val="hybridMultilevel"/>
    <w:tmpl w:val="D50AA248"/>
    <w:lvl w:ilvl="0" w:tplc="0C78C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0B522B"/>
    <w:multiLevelType w:val="hybridMultilevel"/>
    <w:tmpl w:val="FEC21776"/>
    <w:lvl w:ilvl="0" w:tplc="84146376">
      <w:start w:val="1"/>
      <w:numFmt w:val="bullet"/>
      <w:lvlText w:val=""/>
      <w:lvlJc w:val="left"/>
      <w:pPr>
        <w:ind w:left="720" w:hanging="360"/>
      </w:pPr>
      <w:rPr>
        <w:rFonts w:ascii="Symbol" w:hAnsi="Symbo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D08A7"/>
    <w:multiLevelType w:val="hybridMultilevel"/>
    <w:tmpl w:val="5704BE30"/>
    <w:lvl w:ilvl="0" w:tplc="B986F37E">
      <w:start w:val="1"/>
      <w:numFmt w:val="bullet"/>
      <w:lvlText w:val=""/>
      <w:lvlJc w:val="left"/>
      <w:pPr>
        <w:ind w:left="928"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8">
    <w:nsid w:val="1AE32A31"/>
    <w:multiLevelType w:val="hybridMultilevel"/>
    <w:tmpl w:val="DD4EA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C2120D"/>
    <w:multiLevelType w:val="hybridMultilevel"/>
    <w:tmpl w:val="AA7E4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4234B0"/>
    <w:multiLevelType w:val="hybridMultilevel"/>
    <w:tmpl w:val="E8EC55FC"/>
    <w:lvl w:ilvl="0" w:tplc="795C3AE8">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2387DBE"/>
    <w:multiLevelType w:val="hybridMultilevel"/>
    <w:tmpl w:val="52F86B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FD525C"/>
    <w:multiLevelType w:val="hybridMultilevel"/>
    <w:tmpl w:val="974E39B6"/>
    <w:lvl w:ilvl="0" w:tplc="B986F37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993FFF"/>
    <w:multiLevelType w:val="hybridMultilevel"/>
    <w:tmpl w:val="70085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859C3"/>
    <w:multiLevelType w:val="hybridMultilevel"/>
    <w:tmpl w:val="C92E7D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E153DA"/>
    <w:multiLevelType w:val="hybridMultilevel"/>
    <w:tmpl w:val="39B093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291D0D"/>
    <w:multiLevelType w:val="hybridMultilevel"/>
    <w:tmpl w:val="680272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C2769C"/>
    <w:multiLevelType w:val="hybridMultilevel"/>
    <w:tmpl w:val="41BE88E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250E6B"/>
    <w:multiLevelType w:val="hybridMultilevel"/>
    <w:tmpl w:val="9FF28F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56B1"/>
    <w:multiLevelType w:val="hybridMultilevel"/>
    <w:tmpl w:val="095689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8A6F7B"/>
    <w:multiLevelType w:val="hybridMultilevel"/>
    <w:tmpl w:val="2884C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CE3279"/>
    <w:multiLevelType w:val="hybridMultilevel"/>
    <w:tmpl w:val="0ED425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2D6562"/>
    <w:multiLevelType w:val="hybridMultilevel"/>
    <w:tmpl w:val="4F886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AD1A11"/>
    <w:multiLevelType w:val="hybridMultilevel"/>
    <w:tmpl w:val="7172BC6C"/>
    <w:lvl w:ilvl="0" w:tplc="8414637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0956083"/>
    <w:multiLevelType w:val="hybridMultilevel"/>
    <w:tmpl w:val="AED4AD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4431C7"/>
    <w:multiLevelType w:val="hybridMultilevel"/>
    <w:tmpl w:val="A7E487D0"/>
    <w:lvl w:ilvl="0" w:tplc="4CAE3C3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D31D75"/>
    <w:multiLevelType w:val="hybridMultilevel"/>
    <w:tmpl w:val="2A42839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CB0513A"/>
    <w:multiLevelType w:val="hybridMultilevel"/>
    <w:tmpl w:val="EABCED90"/>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167026"/>
    <w:multiLevelType w:val="hybridMultilevel"/>
    <w:tmpl w:val="773A46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B36D35"/>
    <w:multiLevelType w:val="hybridMultilevel"/>
    <w:tmpl w:val="EBDAA574"/>
    <w:lvl w:ilvl="0" w:tplc="795C3AE8">
      <w:start w:val="1"/>
      <w:numFmt w:val="bullet"/>
      <w:lvlText w:val=""/>
      <w:lvlJc w:val="left"/>
      <w:pPr>
        <w:ind w:left="2138" w:hanging="360"/>
      </w:pPr>
      <w:rPr>
        <w:rFonts w:ascii="Wingdings" w:hAnsi="Wingdings" w:hint="default"/>
      </w:rPr>
    </w:lvl>
    <w:lvl w:ilvl="1" w:tplc="795C3AE8">
      <w:start w:val="1"/>
      <w:numFmt w:val="bullet"/>
      <w:lvlText w:val=""/>
      <w:lvlJc w:val="left"/>
      <w:pPr>
        <w:ind w:left="786"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CB639F"/>
    <w:multiLevelType w:val="hybridMultilevel"/>
    <w:tmpl w:val="1AAA4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F328EE"/>
    <w:multiLevelType w:val="hybridMultilevel"/>
    <w:tmpl w:val="F25EC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82653E"/>
    <w:multiLevelType w:val="hybridMultilevel"/>
    <w:tmpl w:val="CA06D3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5CEB5CF6"/>
    <w:multiLevelType w:val="hybridMultilevel"/>
    <w:tmpl w:val="16D421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D73043"/>
    <w:multiLevelType w:val="hybridMultilevel"/>
    <w:tmpl w:val="64522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8F3D34"/>
    <w:multiLevelType w:val="hybridMultilevel"/>
    <w:tmpl w:val="751E5D6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6B266E"/>
    <w:multiLevelType w:val="multilevel"/>
    <w:tmpl w:val="F4AAB0C0"/>
    <w:lvl w:ilvl="0">
      <w:start w:val="1"/>
      <w:numFmt w:val="bullet"/>
      <w:lvlText w:val=""/>
      <w:lvlJc w:val="left"/>
      <w:pPr>
        <w:ind w:left="1636" w:hanging="360"/>
      </w:pPr>
      <w:rPr>
        <w:rFonts w:ascii="Symbol" w:hAnsi="Symbol" w:cs="Symbol" w:hint="default"/>
      </w:rPr>
    </w:lvl>
    <w:lvl w:ilvl="1">
      <w:start w:val="1"/>
      <w:numFmt w:val="bullet"/>
      <w:lvlText w:val="o"/>
      <w:lvlJc w:val="left"/>
      <w:pPr>
        <w:ind w:left="2857" w:hanging="360"/>
      </w:pPr>
      <w:rPr>
        <w:rFonts w:ascii="Courier New" w:hAnsi="Courier New" w:cs="Courier New" w:hint="default"/>
      </w:rPr>
    </w:lvl>
    <w:lvl w:ilvl="2">
      <w:start w:val="1"/>
      <w:numFmt w:val="bullet"/>
      <w:lvlText w:val=""/>
      <w:lvlJc w:val="left"/>
      <w:pPr>
        <w:ind w:left="3577" w:hanging="360"/>
      </w:pPr>
      <w:rPr>
        <w:rFonts w:ascii="Wingdings" w:hAnsi="Wingdings" w:cs="Wingdings" w:hint="default"/>
      </w:rPr>
    </w:lvl>
    <w:lvl w:ilvl="3">
      <w:start w:val="1"/>
      <w:numFmt w:val="bullet"/>
      <w:lvlText w:val=""/>
      <w:lvlJc w:val="left"/>
      <w:pPr>
        <w:ind w:left="4297" w:hanging="360"/>
      </w:pPr>
      <w:rPr>
        <w:rFonts w:ascii="Symbol" w:hAnsi="Symbol" w:cs="Symbol" w:hint="default"/>
      </w:rPr>
    </w:lvl>
    <w:lvl w:ilvl="4">
      <w:start w:val="1"/>
      <w:numFmt w:val="bullet"/>
      <w:lvlText w:val="o"/>
      <w:lvlJc w:val="left"/>
      <w:pPr>
        <w:ind w:left="5017" w:hanging="360"/>
      </w:pPr>
      <w:rPr>
        <w:rFonts w:ascii="Courier New" w:hAnsi="Courier New" w:cs="Courier New" w:hint="default"/>
      </w:rPr>
    </w:lvl>
    <w:lvl w:ilvl="5">
      <w:start w:val="1"/>
      <w:numFmt w:val="bullet"/>
      <w:lvlText w:val=""/>
      <w:lvlJc w:val="left"/>
      <w:pPr>
        <w:ind w:left="5737" w:hanging="360"/>
      </w:pPr>
      <w:rPr>
        <w:rFonts w:ascii="Wingdings" w:hAnsi="Wingdings" w:cs="Wingdings" w:hint="default"/>
      </w:rPr>
    </w:lvl>
    <w:lvl w:ilvl="6">
      <w:start w:val="1"/>
      <w:numFmt w:val="bullet"/>
      <w:lvlText w:val=""/>
      <w:lvlJc w:val="left"/>
      <w:pPr>
        <w:ind w:left="6457" w:hanging="360"/>
      </w:pPr>
      <w:rPr>
        <w:rFonts w:ascii="Symbol" w:hAnsi="Symbol" w:cs="Symbol" w:hint="default"/>
      </w:rPr>
    </w:lvl>
    <w:lvl w:ilvl="7">
      <w:start w:val="1"/>
      <w:numFmt w:val="bullet"/>
      <w:lvlText w:val="o"/>
      <w:lvlJc w:val="left"/>
      <w:pPr>
        <w:ind w:left="7177" w:hanging="360"/>
      </w:pPr>
      <w:rPr>
        <w:rFonts w:ascii="Courier New" w:hAnsi="Courier New" w:cs="Courier New" w:hint="default"/>
      </w:rPr>
    </w:lvl>
    <w:lvl w:ilvl="8">
      <w:start w:val="1"/>
      <w:numFmt w:val="bullet"/>
      <w:lvlText w:val=""/>
      <w:lvlJc w:val="left"/>
      <w:pPr>
        <w:ind w:left="7897" w:hanging="360"/>
      </w:pPr>
      <w:rPr>
        <w:rFonts w:ascii="Wingdings" w:hAnsi="Wingdings" w:cs="Wingdings" w:hint="default"/>
      </w:rPr>
    </w:lvl>
  </w:abstractNum>
  <w:abstractNum w:abstractNumId="37">
    <w:nsid w:val="62731351"/>
    <w:multiLevelType w:val="hybridMultilevel"/>
    <w:tmpl w:val="E682BF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A359CE"/>
    <w:multiLevelType w:val="hybridMultilevel"/>
    <w:tmpl w:val="17F467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544781"/>
    <w:multiLevelType w:val="hybridMultilevel"/>
    <w:tmpl w:val="ADBEBCE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7597D97"/>
    <w:multiLevelType w:val="hybridMultilevel"/>
    <w:tmpl w:val="A8B0EE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89E3315"/>
    <w:multiLevelType w:val="hybridMultilevel"/>
    <w:tmpl w:val="BD0C2142"/>
    <w:lvl w:ilvl="0" w:tplc="F962B2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AA65E8"/>
    <w:multiLevelType w:val="hybridMultilevel"/>
    <w:tmpl w:val="B2B41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0E5E37"/>
    <w:multiLevelType w:val="hybridMultilevel"/>
    <w:tmpl w:val="6C743766"/>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B702BD"/>
    <w:multiLevelType w:val="hybridMultilevel"/>
    <w:tmpl w:val="0188383E"/>
    <w:lvl w:ilvl="0" w:tplc="795C3AE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A015AD"/>
    <w:multiLevelType w:val="hybridMultilevel"/>
    <w:tmpl w:val="5F246DB2"/>
    <w:lvl w:ilvl="0" w:tplc="91000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EF3136"/>
    <w:multiLevelType w:val="hybridMultilevel"/>
    <w:tmpl w:val="5FA2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5E5DF4"/>
    <w:multiLevelType w:val="hybridMultilevel"/>
    <w:tmpl w:val="0D04A442"/>
    <w:lvl w:ilvl="0" w:tplc="795C3AE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056934"/>
    <w:multiLevelType w:val="hybridMultilevel"/>
    <w:tmpl w:val="66427A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0"/>
  </w:num>
  <w:num w:numId="4">
    <w:abstractNumId w:val="28"/>
  </w:num>
  <w:num w:numId="5">
    <w:abstractNumId w:val="14"/>
  </w:num>
  <w:num w:numId="6">
    <w:abstractNumId w:val="33"/>
  </w:num>
  <w:num w:numId="7">
    <w:abstractNumId w:val="11"/>
  </w:num>
  <w:num w:numId="8">
    <w:abstractNumId w:val="48"/>
  </w:num>
  <w:num w:numId="9">
    <w:abstractNumId w:val="17"/>
  </w:num>
  <w:num w:numId="10">
    <w:abstractNumId w:val="32"/>
  </w:num>
  <w:num w:numId="11">
    <w:abstractNumId w:val="42"/>
  </w:num>
  <w:num w:numId="12">
    <w:abstractNumId w:val="2"/>
  </w:num>
  <w:num w:numId="13">
    <w:abstractNumId w:val="4"/>
  </w:num>
  <w:num w:numId="14">
    <w:abstractNumId w:val="29"/>
  </w:num>
  <w:num w:numId="15">
    <w:abstractNumId w:val="47"/>
  </w:num>
  <w:num w:numId="16">
    <w:abstractNumId w:val="34"/>
  </w:num>
  <w:num w:numId="17">
    <w:abstractNumId w:val="44"/>
  </w:num>
  <w:num w:numId="18">
    <w:abstractNumId w:val="37"/>
  </w:num>
  <w:num w:numId="19">
    <w:abstractNumId w:val="13"/>
  </w:num>
  <w:num w:numId="20">
    <w:abstractNumId w:val="40"/>
  </w:num>
  <w:num w:numId="21">
    <w:abstractNumId w:val="27"/>
  </w:num>
  <w:num w:numId="22">
    <w:abstractNumId w:val="43"/>
  </w:num>
  <w:num w:numId="23">
    <w:abstractNumId w:val="21"/>
  </w:num>
  <w:num w:numId="24">
    <w:abstractNumId w:val="8"/>
  </w:num>
  <w:num w:numId="25">
    <w:abstractNumId w:val="1"/>
  </w:num>
  <w:num w:numId="26">
    <w:abstractNumId w:val="24"/>
  </w:num>
  <w:num w:numId="27">
    <w:abstractNumId w:val="26"/>
  </w:num>
  <w:num w:numId="28">
    <w:abstractNumId w:val="0"/>
  </w:num>
  <w:num w:numId="29">
    <w:abstractNumId w:val="22"/>
  </w:num>
  <w:num w:numId="30">
    <w:abstractNumId w:val="7"/>
  </w:num>
  <w:num w:numId="31">
    <w:abstractNumId w:val="12"/>
  </w:num>
  <w:num w:numId="32">
    <w:abstractNumId w:val="36"/>
  </w:num>
  <w:num w:numId="33">
    <w:abstractNumId w:val="31"/>
  </w:num>
  <w:num w:numId="34">
    <w:abstractNumId w:val="30"/>
  </w:num>
  <w:num w:numId="35">
    <w:abstractNumId w:val="46"/>
  </w:num>
  <w:num w:numId="36">
    <w:abstractNumId w:val="6"/>
  </w:num>
  <w:num w:numId="37">
    <w:abstractNumId w:val="23"/>
  </w:num>
  <w:num w:numId="38">
    <w:abstractNumId w:val="38"/>
  </w:num>
  <w:num w:numId="39">
    <w:abstractNumId w:val="5"/>
  </w:num>
  <w:num w:numId="40">
    <w:abstractNumId w:val="35"/>
  </w:num>
  <w:num w:numId="41">
    <w:abstractNumId w:val="41"/>
  </w:num>
  <w:num w:numId="42">
    <w:abstractNumId w:val="25"/>
  </w:num>
  <w:num w:numId="43">
    <w:abstractNumId w:val="45"/>
  </w:num>
  <w:num w:numId="44">
    <w:abstractNumId w:val="19"/>
  </w:num>
  <w:num w:numId="45">
    <w:abstractNumId w:val="18"/>
  </w:num>
  <w:num w:numId="46">
    <w:abstractNumId w:val="10"/>
  </w:num>
  <w:num w:numId="47">
    <w:abstractNumId w:val="9"/>
  </w:num>
  <w:num w:numId="48">
    <w:abstractNumId w:val="3"/>
  </w:num>
  <w:num w:numId="49">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3F"/>
    <w:rsid w:val="00001E17"/>
    <w:rsid w:val="00002AAD"/>
    <w:rsid w:val="00002DED"/>
    <w:rsid w:val="00006816"/>
    <w:rsid w:val="000106EA"/>
    <w:rsid w:val="00012C25"/>
    <w:rsid w:val="00012C3C"/>
    <w:rsid w:val="00014B1C"/>
    <w:rsid w:val="000157BB"/>
    <w:rsid w:val="00023E07"/>
    <w:rsid w:val="000243FB"/>
    <w:rsid w:val="00025266"/>
    <w:rsid w:val="0003397B"/>
    <w:rsid w:val="00034DB4"/>
    <w:rsid w:val="00035F40"/>
    <w:rsid w:val="00035FD4"/>
    <w:rsid w:val="00036D7E"/>
    <w:rsid w:val="00040B06"/>
    <w:rsid w:val="00042D29"/>
    <w:rsid w:val="00043AD6"/>
    <w:rsid w:val="00046507"/>
    <w:rsid w:val="00046914"/>
    <w:rsid w:val="00051CCD"/>
    <w:rsid w:val="000539D8"/>
    <w:rsid w:val="000542B7"/>
    <w:rsid w:val="00055DA4"/>
    <w:rsid w:val="000623A1"/>
    <w:rsid w:val="000670AE"/>
    <w:rsid w:val="000675B8"/>
    <w:rsid w:val="00071127"/>
    <w:rsid w:val="0008209E"/>
    <w:rsid w:val="00086906"/>
    <w:rsid w:val="00091E40"/>
    <w:rsid w:val="00096135"/>
    <w:rsid w:val="00096F56"/>
    <w:rsid w:val="00096FB3"/>
    <w:rsid w:val="00097BE3"/>
    <w:rsid w:val="000B170F"/>
    <w:rsid w:val="000B4692"/>
    <w:rsid w:val="000C45F8"/>
    <w:rsid w:val="000C75EE"/>
    <w:rsid w:val="000C7870"/>
    <w:rsid w:val="000D1659"/>
    <w:rsid w:val="000D2A17"/>
    <w:rsid w:val="000D5947"/>
    <w:rsid w:val="000E4CF0"/>
    <w:rsid w:val="000E66D7"/>
    <w:rsid w:val="000E694A"/>
    <w:rsid w:val="000F5056"/>
    <w:rsid w:val="0010582A"/>
    <w:rsid w:val="0010755A"/>
    <w:rsid w:val="00107640"/>
    <w:rsid w:val="00112329"/>
    <w:rsid w:val="0011603B"/>
    <w:rsid w:val="00120417"/>
    <w:rsid w:val="00123704"/>
    <w:rsid w:val="00126DA9"/>
    <w:rsid w:val="0013109C"/>
    <w:rsid w:val="001348A7"/>
    <w:rsid w:val="001408CA"/>
    <w:rsid w:val="001414CA"/>
    <w:rsid w:val="00143050"/>
    <w:rsid w:val="00156855"/>
    <w:rsid w:val="001573C4"/>
    <w:rsid w:val="00160369"/>
    <w:rsid w:val="00164DBB"/>
    <w:rsid w:val="00166485"/>
    <w:rsid w:val="00170CC4"/>
    <w:rsid w:val="001734B5"/>
    <w:rsid w:val="001818D9"/>
    <w:rsid w:val="00191D92"/>
    <w:rsid w:val="001A0716"/>
    <w:rsid w:val="001A16F9"/>
    <w:rsid w:val="001A1A22"/>
    <w:rsid w:val="001A298F"/>
    <w:rsid w:val="001A4F3B"/>
    <w:rsid w:val="001A72F3"/>
    <w:rsid w:val="001C1D5C"/>
    <w:rsid w:val="001C3DA1"/>
    <w:rsid w:val="001C3DEE"/>
    <w:rsid w:val="001C4370"/>
    <w:rsid w:val="001E0494"/>
    <w:rsid w:val="001E4FA8"/>
    <w:rsid w:val="001F1C5F"/>
    <w:rsid w:val="001F472C"/>
    <w:rsid w:val="00202205"/>
    <w:rsid w:val="00202D7E"/>
    <w:rsid w:val="00203245"/>
    <w:rsid w:val="0021017C"/>
    <w:rsid w:val="00210DE3"/>
    <w:rsid w:val="00216250"/>
    <w:rsid w:val="00220C0C"/>
    <w:rsid w:val="00221508"/>
    <w:rsid w:val="00222CF8"/>
    <w:rsid w:val="0022323D"/>
    <w:rsid w:val="00223E55"/>
    <w:rsid w:val="00226119"/>
    <w:rsid w:val="00226420"/>
    <w:rsid w:val="0023348E"/>
    <w:rsid w:val="00235F5B"/>
    <w:rsid w:val="00241483"/>
    <w:rsid w:val="00243336"/>
    <w:rsid w:val="0024653B"/>
    <w:rsid w:val="00255E29"/>
    <w:rsid w:val="0025602A"/>
    <w:rsid w:val="00256048"/>
    <w:rsid w:val="00257D15"/>
    <w:rsid w:val="00263C56"/>
    <w:rsid w:val="00270CD7"/>
    <w:rsid w:val="00271CA4"/>
    <w:rsid w:val="002778FD"/>
    <w:rsid w:val="00281C75"/>
    <w:rsid w:val="002820E9"/>
    <w:rsid w:val="00285DCB"/>
    <w:rsid w:val="00294DF3"/>
    <w:rsid w:val="002A001B"/>
    <w:rsid w:val="002A188A"/>
    <w:rsid w:val="002A2661"/>
    <w:rsid w:val="002A52C7"/>
    <w:rsid w:val="002A63D9"/>
    <w:rsid w:val="002A7E86"/>
    <w:rsid w:val="002B0E27"/>
    <w:rsid w:val="002B1045"/>
    <w:rsid w:val="002B2495"/>
    <w:rsid w:val="002B496A"/>
    <w:rsid w:val="002B7865"/>
    <w:rsid w:val="002C1F12"/>
    <w:rsid w:val="002C474A"/>
    <w:rsid w:val="002C68B0"/>
    <w:rsid w:val="002C7336"/>
    <w:rsid w:val="002D7EC4"/>
    <w:rsid w:val="002E0747"/>
    <w:rsid w:val="002E0813"/>
    <w:rsid w:val="002E0D39"/>
    <w:rsid w:val="002E7A23"/>
    <w:rsid w:val="002F247D"/>
    <w:rsid w:val="003053FC"/>
    <w:rsid w:val="00306FCE"/>
    <w:rsid w:val="003074A4"/>
    <w:rsid w:val="00311930"/>
    <w:rsid w:val="00311982"/>
    <w:rsid w:val="003169F2"/>
    <w:rsid w:val="00321CAE"/>
    <w:rsid w:val="00330268"/>
    <w:rsid w:val="0033038A"/>
    <w:rsid w:val="0033533A"/>
    <w:rsid w:val="003373A7"/>
    <w:rsid w:val="00341B96"/>
    <w:rsid w:val="00352763"/>
    <w:rsid w:val="00362245"/>
    <w:rsid w:val="00363AA2"/>
    <w:rsid w:val="00364A5D"/>
    <w:rsid w:val="00365C37"/>
    <w:rsid w:val="003728C9"/>
    <w:rsid w:val="003763BD"/>
    <w:rsid w:val="00376837"/>
    <w:rsid w:val="0039420F"/>
    <w:rsid w:val="00396CEE"/>
    <w:rsid w:val="00396D78"/>
    <w:rsid w:val="003A15BE"/>
    <w:rsid w:val="003B0EF1"/>
    <w:rsid w:val="003B42A5"/>
    <w:rsid w:val="003B58FA"/>
    <w:rsid w:val="003C2610"/>
    <w:rsid w:val="003D0938"/>
    <w:rsid w:val="003D5777"/>
    <w:rsid w:val="003E7FCC"/>
    <w:rsid w:val="003F0B68"/>
    <w:rsid w:val="003F24C8"/>
    <w:rsid w:val="003F4941"/>
    <w:rsid w:val="0040159D"/>
    <w:rsid w:val="00401EF2"/>
    <w:rsid w:val="004052F1"/>
    <w:rsid w:val="00407FBE"/>
    <w:rsid w:val="004108D4"/>
    <w:rsid w:val="00412673"/>
    <w:rsid w:val="00414173"/>
    <w:rsid w:val="00416719"/>
    <w:rsid w:val="00420144"/>
    <w:rsid w:val="00420723"/>
    <w:rsid w:val="00420C4E"/>
    <w:rsid w:val="00422379"/>
    <w:rsid w:val="00424F9D"/>
    <w:rsid w:val="00425460"/>
    <w:rsid w:val="004263D5"/>
    <w:rsid w:val="004329F0"/>
    <w:rsid w:val="004334D5"/>
    <w:rsid w:val="004363BD"/>
    <w:rsid w:val="00436454"/>
    <w:rsid w:val="00441D48"/>
    <w:rsid w:val="00455FAA"/>
    <w:rsid w:val="00463562"/>
    <w:rsid w:val="00464168"/>
    <w:rsid w:val="00464FD5"/>
    <w:rsid w:val="00477E12"/>
    <w:rsid w:val="00484704"/>
    <w:rsid w:val="004A0DE2"/>
    <w:rsid w:val="004A2ABD"/>
    <w:rsid w:val="004A5060"/>
    <w:rsid w:val="004A6721"/>
    <w:rsid w:val="004B3115"/>
    <w:rsid w:val="004B5342"/>
    <w:rsid w:val="004B6BF7"/>
    <w:rsid w:val="004C1557"/>
    <w:rsid w:val="004C31AE"/>
    <w:rsid w:val="004D46C6"/>
    <w:rsid w:val="004E1F1F"/>
    <w:rsid w:val="004E2B06"/>
    <w:rsid w:val="004E64E0"/>
    <w:rsid w:val="004F28D5"/>
    <w:rsid w:val="004F4D4C"/>
    <w:rsid w:val="004F4EC3"/>
    <w:rsid w:val="004F77E7"/>
    <w:rsid w:val="00502704"/>
    <w:rsid w:val="005112B7"/>
    <w:rsid w:val="0051723D"/>
    <w:rsid w:val="00517AB4"/>
    <w:rsid w:val="005256FD"/>
    <w:rsid w:val="00533CB1"/>
    <w:rsid w:val="00537340"/>
    <w:rsid w:val="00541B26"/>
    <w:rsid w:val="00551598"/>
    <w:rsid w:val="00556635"/>
    <w:rsid w:val="005615C6"/>
    <w:rsid w:val="00567204"/>
    <w:rsid w:val="00572123"/>
    <w:rsid w:val="005725C3"/>
    <w:rsid w:val="00575AB3"/>
    <w:rsid w:val="00576126"/>
    <w:rsid w:val="00577CD1"/>
    <w:rsid w:val="00584FB6"/>
    <w:rsid w:val="005857E0"/>
    <w:rsid w:val="00586785"/>
    <w:rsid w:val="005878E1"/>
    <w:rsid w:val="00591E03"/>
    <w:rsid w:val="005954D1"/>
    <w:rsid w:val="005972FD"/>
    <w:rsid w:val="005A0823"/>
    <w:rsid w:val="005A1B91"/>
    <w:rsid w:val="005A686D"/>
    <w:rsid w:val="005B013E"/>
    <w:rsid w:val="005B0191"/>
    <w:rsid w:val="005B0A0F"/>
    <w:rsid w:val="005B4264"/>
    <w:rsid w:val="005B536C"/>
    <w:rsid w:val="005B5BF9"/>
    <w:rsid w:val="005D2333"/>
    <w:rsid w:val="005D3140"/>
    <w:rsid w:val="005E47D7"/>
    <w:rsid w:val="005E7033"/>
    <w:rsid w:val="005F0142"/>
    <w:rsid w:val="005F1345"/>
    <w:rsid w:val="005F3A11"/>
    <w:rsid w:val="00602396"/>
    <w:rsid w:val="0060673F"/>
    <w:rsid w:val="006118BE"/>
    <w:rsid w:val="00611B78"/>
    <w:rsid w:val="00621184"/>
    <w:rsid w:val="00631396"/>
    <w:rsid w:val="00631FD2"/>
    <w:rsid w:val="00634D7D"/>
    <w:rsid w:val="00646FC2"/>
    <w:rsid w:val="00647B74"/>
    <w:rsid w:val="006502BA"/>
    <w:rsid w:val="00651A2E"/>
    <w:rsid w:val="00652B6C"/>
    <w:rsid w:val="00652F48"/>
    <w:rsid w:val="0065759B"/>
    <w:rsid w:val="006622A1"/>
    <w:rsid w:val="00666091"/>
    <w:rsid w:val="006674EB"/>
    <w:rsid w:val="006715FD"/>
    <w:rsid w:val="006823D0"/>
    <w:rsid w:val="00682564"/>
    <w:rsid w:val="00684C1F"/>
    <w:rsid w:val="00687C09"/>
    <w:rsid w:val="006920AD"/>
    <w:rsid w:val="00693049"/>
    <w:rsid w:val="0069387B"/>
    <w:rsid w:val="006A04BB"/>
    <w:rsid w:val="006A097D"/>
    <w:rsid w:val="006A724A"/>
    <w:rsid w:val="006B6190"/>
    <w:rsid w:val="006B7B79"/>
    <w:rsid w:val="006D1CED"/>
    <w:rsid w:val="006E0864"/>
    <w:rsid w:val="006F08CD"/>
    <w:rsid w:val="006F3ED4"/>
    <w:rsid w:val="006F7CB4"/>
    <w:rsid w:val="007033E6"/>
    <w:rsid w:val="00704A06"/>
    <w:rsid w:val="007129AC"/>
    <w:rsid w:val="00714B7E"/>
    <w:rsid w:val="0072275D"/>
    <w:rsid w:val="00733A5F"/>
    <w:rsid w:val="00733C63"/>
    <w:rsid w:val="007345B3"/>
    <w:rsid w:val="007451C5"/>
    <w:rsid w:val="00747479"/>
    <w:rsid w:val="00755918"/>
    <w:rsid w:val="007608F4"/>
    <w:rsid w:val="007709CB"/>
    <w:rsid w:val="0077132A"/>
    <w:rsid w:val="00772029"/>
    <w:rsid w:val="00777938"/>
    <w:rsid w:val="00783432"/>
    <w:rsid w:val="007853C4"/>
    <w:rsid w:val="00786B04"/>
    <w:rsid w:val="00786BC6"/>
    <w:rsid w:val="00794F97"/>
    <w:rsid w:val="007A2387"/>
    <w:rsid w:val="007A6D0D"/>
    <w:rsid w:val="007A7128"/>
    <w:rsid w:val="007B02C9"/>
    <w:rsid w:val="007B3E3D"/>
    <w:rsid w:val="007B5EA6"/>
    <w:rsid w:val="007C1BBB"/>
    <w:rsid w:val="007D2340"/>
    <w:rsid w:val="007E0154"/>
    <w:rsid w:val="007E0F3E"/>
    <w:rsid w:val="007E4488"/>
    <w:rsid w:val="00814236"/>
    <w:rsid w:val="008167FB"/>
    <w:rsid w:val="00817389"/>
    <w:rsid w:val="00823BED"/>
    <w:rsid w:val="0082418A"/>
    <w:rsid w:val="0083123E"/>
    <w:rsid w:val="008326C4"/>
    <w:rsid w:val="00836865"/>
    <w:rsid w:val="0084482F"/>
    <w:rsid w:val="00844979"/>
    <w:rsid w:val="00845D70"/>
    <w:rsid w:val="008478C4"/>
    <w:rsid w:val="0085419D"/>
    <w:rsid w:val="0085793B"/>
    <w:rsid w:val="00863467"/>
    <w:rsid w:val="00863530"/>
    <w:rsid w:val="0087464E"/>
    <w:rsid w:val="00874C2D"/>
    <w:rsid w:val="00882FDB"/>
    <w:rsid w:val="008838FF"/>
    <w:rsid w:val="008848E4"/>
    <w:rsid w:val="008853A6"/>
    <w:rsid w:val="00886D95"/>
    <w:rsid w:val="00890E73"/>
    <w:rsid w:val="00891769"/>
    <w:rsid w:val="00891F3D"/>
    <w:rsid w:val="00893A33"/>
    <w:rsid w:val="00895A3E"/>
    <w:rsid w:val="00896E5E"/>
    <w:rsid w:val="008A030A"/>
    <w:rsid w:val="008A0CFE"/>
    <w:rsid w:val="008B4DDB"/>
    <w:rsid w:val="008C1951"/>
    <w:rsid w:val="008C4C62"/>
    <w:rsid w:val="008C4D12"/>
    <w:rsid w:val="008C6B4C"/>
    <w:rsid w:val="008C7AF3"/>
    <w:rsid w:val="008D0358"/>
    <w:rsid w:val="008D14CB"/>
    <w:rsid w:val="008D47E3"/>
    <w:rsid w:val="008E4958"/>
    <w:rsid w:val="008E58EF"/>
    <w:rsid w:val="008E66EC"/>
    <w:rsid w:val="008F24F2"/>
    <w:rsid w:val="008F332C"/>
    <w:rsid w:val="008F61A7"/>
    <w:rsid w:val="008F6835"/>
    <w:rsid w:val="009026CF"/>
    <w:rsid w:val="0090314D"/>
    <w:rsid w:val="00905002"/>
    <w:rsid w:val="009053A4"/>
    <w:rsid w:val="0090640E"/>
    <w:rsid w:val="00906E38"/>
    <w:rsid w:val="00915D79"/>
    <w:rsid w:val="009165AA"/>
    <w:rsid w:val="00916908"/>
    <w:rsid w:val="00922708"/>
    <w:rsid w:val="00926283"/>
    <w:rsid w:val="00932E0D"/>
    <w:rsid w:val="00934841"/>
    <w:rsid w:val="00937BFD"/>
    <w:rsid w:val="00942314"/>
    <w:rsid w:val="00944A5B"/>
    <w:rsid w:val="009513E6"/>
    <w:rsid w:val="00956106"/>
    <w:rsid w:val="00960C1A"/>
    <w:rsid w:val="0096202B"/>
    <w:rsid w:val="0096279E"/>
    <w:rsid w:val="00964650"/>
    <w:rsid w:val="00965007"/>
    <w:rsid w:val="009700BC"/>
    <w:rsid w:val="00971A16"/>
    <w:rsid w:val="00971E81"/>
    <w:rsid w:val="00990852"/>
    <w:rsid w:val="009977BC"/>
    <w:rsid w:val="00997AB8"/>
    <w:rsid w:val="009A05E1"/>
    <w:rsid w:val="009A0E6D"/>
    <w:rsid w:val="009A1608"/>
    <w:rsid w:val="009A6423"/>
    <w:rsid w:val="009B500B"/>
    <w:rsid w:val="009B7FC1"/>
    <w:rsid w:val="009C199F"/>
    <w:rsid w:val="009D2CF9"/>
    <w:rsid w:val="009D6175"/>
    <w:rsid w:val="009D6E50"/>
    <w:rsid w:val="009E3A7C"/>
    <w:rsid w:val="009E6041"/>
    <w:rsid w:val="009E645A"/>
    <w:rsid w:val="009E6D25"/>
    <w:rsid w:val="009F0F00"/>
    <w:rsid w:val="00A01A38"/>
    <w:rsid w:val="00A022DB"/>
    <w:rsid w:val="00A02C10"/>
    <w:rsid w:val="00A06775"/>
    <w:rsid w:val="00A06F99"/>
    <w:rsid w:val="00A11047"/>
    <w:rsid w:val="00A16E6C"/>
    <w:rsid w:val="00A20166"/>
    <w:rsid w:val="00A23A4A"/>
    <w:rsid w:val="00A2533C"/>
    <w:rsid w:val="00A3122B"/>
    <w:rsid w:val="00A46D3B"/>
    <w:rsid w:val="00A46E9C"/>
    <w:rsid w:val="00A472A3"/>
    <w:rsid w:val="00A47A56"/>
    <w:rsid w:val="00A50C69"/>
    <w:rsid w:val="00A5529D"/>
    <w:rsid w:val="00A62988"/>
    <w:rsid w:val="00A62AA3"/>
    <w:rsid w:val="00A62D40"/>
    <w:rsid w:val="00A62EC6"/>
    <w:rsid w:val="00A64F87"/>
    <w:rsid w:val="00A65A02"/>
    <w:rsid w:val="00A72A4A"/>
    <w:rsid w:val="00A74A48"/>
    <w:rsid w:val="00A8148B"/>
    <w:rsid w:val="00A85F20"/>
    <w:rsid w:val="00A86458"/>
    <w:rsid w:val="00A87C4A"/>
    <w:rsid w:val="00A908B1"/>
    <w:rsid w:val="00A91F9F"/>
    <w:rsid w:val="00A942A3"/>
    <w:rsid w:val="00A95D37"/>
    <w:rsid w:val="00A97C24"/>
    <w:rsid w:val="00AA3CFC"/>
    <w:rsid w:val="00AA612D"/>
    <w:rsid w:val="00AB41EB"/>
    <w:rsid w:val="00AB6251"/>
    <w:rsid w:val="00AD219D"/>
    <w:rsid w:val="00AD36AE"/>
    <w:rsid w:val="00AD68F3"/>
    <w:rsid w:val="00AE25F1"/>
    <w:rsid w:val="00AF1052"/>
    <w:rsid w:val="00AF2598"/>
    <w:rsid w:val="00AF2A9E"/>
    <w:rsid w:val="00B051D7"/>
    <w:rsid w:val="00B24D6D"/>
    <w:rsid w:val="00B2699A"/>
    <w:rsid w:val="00B30D05"/>
    <w:rsid w:val="00B31EFD"/>
    <w:rsid w:val="00B33480"/>
    <w:rsid w:val="00B33F94"/>
    <w:rsid w:val="00B411D3"/>
    <w:rsid w:val="00B45071"/>
    <w:rsid w:val="00B4652C"/>
    <w:rsid w:val="00B629CF"/>
    <w:rsid w:val="00B66503"/>
    <w:rsid w:val="00B66C33"/>
    <w:rsid w:val="00B67A50"/>
    <w:rsid w:val="00B70828"/>
    <w:rsid w:val="00B71EE6"/>
    <w:rsid w:val="00B765E1"/>
    <w:rsid w:val="00B84554"/>
    <w:rsid w:val="00B87CA8"/>
    <w:rsid w:val="00B94F38"/>
    <w:rsid w:val="00B95D78"/>
    <w:rsid w:val="00BA1D1B"/>
    <w:rsid w:val="00BA20F9"/>
    <w:rsid w:val="00BA2F26"/>
    <w:rsid w:val="00BA6E5A"/>
    <w:rsid w:val="00BB20B1"/>
    <w:rsid w:val="00BB6C41"/>
    <w:rsid w:val="00BB7F7A"/>
    <w:rsid w:val="00BC0213"/>
    <w:rsid w:val="00BC1A32"/>
    <w:rsid w:val="00BC5F33"/>
    <w:rsid w:val="00BD0CC2"/>
    <w:rsid w:val="00BD32B9"/>
    <w:rsid w:val="00BD37C5"/>
    <w:rsid w:val="00BD387F"/>
    <w:rsid w:val="00BD3BC7"/>
    <w:rsid w:val="00BD4B95"/>
    <w:rsid w:val="00BD520E"/>
    <w:rsid w:val="00BE0DB5"/>
    <w:rsid w:val="00BE41A9"/>
    <w:rsid w:val="00BE5528"/>
    <w:rsid w:val="00BF2509"/>
    <w:rsid w:val="00BF5B9B"/>
    <w:rsid w:val="00BF7646"/>
    <w:rsid w:val="00C00332"/>
    <w:rsid w:val="00C02CBC"/>
    <w:rsid w:val="00C0341D"/>
    <w:rsid w:val="00C04493"/>
    <w:rsid w:val="00C044BF"/>
    <w:rsid w:val="00C05434"/>
    <w:rsid w:val="00C22E30"/>
    <w:rsid w:val="00C256B3"/>
    <w:rsid w:val="00C34CF8"/>
    <w:rsid w:val="00C3715F"/>
    <w:rsid w:val="00C3780E"/>
    <w:rsid w:val="00C455C9"/>
    <w:rsid w:val="00C4613D"/>
    <w:rsid w:val="00C5159D"/>
    <w:rsid w:val="00C562E7"/>
    <w:rsid w:val="00C576BA"/>
    <w:rsid w:val="00C61E54"/>
    <w:rsid w:val="00C70BB5"/>
    <w:rsid w:val="00C73DBC"/>
    <w:rsid w:val="00C75822"/>
    <w:rsid w:val="00C84029"/>
    <w:rsid w:val="00C84517"/>
    <w:rsid w:val="00C94F32"/>
    <w:rsid w:val="00CA3F82"/>
    <w:rsid w:val="00CA5C58"/>
    <w:rsid w:val="00CB0B1A"/>
    <w:rsid w:val="00CB1776"/>
    <w:rsid w:val="00CB3308"/>
    <w:rsid w:val="00CB47B6"/>
    <w:rsid w:val="00CB4F6B"/>
    <w:rsid w:val="00CC434B"/>
    <w:rsid w:val="00CC7437"/>
    <w:rsid w:val="00CD4CAF"/>
    <w:rsid w:val="00CD5F22"/>
    <w:rsid w:val="00CD6BA4"/>
    <w:rsid w:val="00CE59DD"/>
    <w:rsid w:val="00CE7CC4"/>
    <w:rsid w:val="00CF4E1C"/>
    <w:rsid w:val="00D0102F"/>
    <w:rsid w:val="00D01408"/>
    <w:rsid w:val="00D03FF7"/>
    <w:rsid w:val="00D05CB2"/>
    <w:rsid w:val="00D06435"/>
    <w:rsid w:val="00D15B3F"/>
    <w:rsid w:val="00D16B89"/>
    <w:rsid w:val="00D20D40"/>
    <w:rsid w:val="00D2332F"/>
    <w:rsid w:val="00D30293"/>
    <w:rsid w:val="00D34A71"/>
    <w:rsid w:val="00D36F69"/>
    <w:rsid w:val="00D55811"/>
    <w:rsid w:val="00D564F8"/>
    <w:rsid w:val="00D62A85"/>
    <w:rsid w:val="00D6734A"/>
    <w:rsid w:val="00D721B2"/>
    <w:rsid w:val="00D7572C"/>
    <w:rsid w:val="00D75A98"/>
    <w:rsid w:val="00D775BF"/>
    <w:rsid w:val="00D77C36"/>
    <w:rsid w:val="00D82F84"/>
    <w:rsid w:val="00D8309B"/>
    <w:rsid w:val="00D843F9"/>
    <w:rsid w:val="00D85EA8"/>
    <w:rsid w:val="00DA454D"/>
    <w:rsid w:val="00DA7401"/>
    <w:rsid w:val="00DB046D"/>
    <w:rsid w:val="00DB0AE5"/>
    <w:rsid w:val="00DB152E"/>
    <w:rsid w:val="00DB2529"/>
    <w:rsid w:val="00DB49FB"/>
    <w:rsid w:val="00DB5518"/>
    <w:rsid w:val="00DB6DA0"/>
    <w:rsid w:val="00DC126C"/>
    <w:rsid w:val="00DC48C0"/>
    <w:rsid w:val="00DD21D3"/>
    <w:rsid w:val="00DD7F58"/>
    <w:rsid w:val="00DE72B1"/>
    <w:rsid w:val="00DE7347"/>
    <w:rsid w:val="00DE7E94"/>
    <w:rsid w:val="00DF0993"/>
    <w:rsid w:val="00E06D12"/>
    <w:rsid w:val="00E07930"/>
    <w:rsid w:val="00E14F82"/>
    <w:rsid w:val="00E15915"/>
    <w:rsid w:val="00E2114F"/>
    <w:rsid w:val="00E264A6"/>
    <w:rsid w:val="00E27DB3"/>
    <w:rsid w:val="00E32E88"/>
    <w:rsid w:val="00E34FF2"/>
    <w:rsid w:val="00E35AE7"/>
    <w:rsid w:val="00E368BB"/>
    <w:rsid w:val="00E36AE7"/>
    <w:rsid w:val="00E37937"/>
    <w:rsid w:val="00E52A0E"/>
    <w:rsid w:val="00E52C13"/>
    <w:rsid w:val="00E544C0"/>
    <w:rsid w:val="00E54A4B"/>
    <w:rsid w:val="00E57EE1"/>
    <w:rsid w:val="00E720A3"/>
    <w:rsid w:val="00E72811"/>
    <w:rsid w:val="00E73513"/>
    <w:rsid w:val="00E73699"/>
    <w:rsid w:val="00E752A5"/>
    <w:rsid w:val="00E763C2"/>
    <w:rsid w:val="00E80CEE"/>
    <w:rsid w:val="00E832DE"/>
    <w:rsid w:val="00E870E5"/>
    <w:rsid w:val="00E93FC6"/>
    <w:rsid w:val="00EA09E6"/>
    <w:rsid w:val="00EA3E72"/>
    <w:rsid w:val="00EA6AE2"/>
    <w:rsid w:val="00EB0910"/>
    <w:rsid w:val="00EB10E5"/>
    <w:rsid w:val="00EB28EA"/>
    <w:rsid w:val="00EB68B4"/>
    <w:rsid w:val="00EB7B7C"/>
    <w:rsid w:val="00EC03C4"/>
    <w:rsid w:val="00EC210C"/>
    <w:rsid w:val="00EC47E5"/>
    <w:rsid w:val="00ED1FE3"/>
    <w:rsid w:val="00ED7EE3"/>
    <w:rsid w:val="00EE3744"/>
    <w:rsid w:val="00EF215B"/>
    <w:rsid w:val="00EF38AA"/>
    <w:rsid w:val="00EF451F"/>
    <w:rsid w:val="00EF4CEF"/>
    <w:rsid w:val="00EF5088"/>
    <w:rsid w:val="00EF6206"/>
    <w:rsid w:val="00F0181E"/>
    <w:rsid w:val="00F04245"/>
    <w:rsid w:val="00F05196"/>
    <w:rsid w:val="00F07011"/>
    <w:rsid w:val="00F0759D"/>
    <w:rsid w:val="00F115D4"/>
    <w:rsid w:val="00F1523D"/>
    <w:rsid w:val="00F333DB"/>
    <w:rsid w:val="00F343EF"/>
    <w:rsid w:val="00F4063C"/>
    <w:rsid w:val="00F43492"/>
    <w:rsid w:val="00F5015C"/>
    <w:rsid w:val="00F545B4"/>
    <w:rsid w:val="00F60452"/>
    <w:rsid w:val="00F644A3"/>
    <w:rsid w:val="00F73FAA"/>
    <w:rsid w:val="00F74DD2"/>
    <w:rsid w:val="00F84963"/>
    <w:rsid w:val="00F84BBC"/>
    <w:rsid w:val="00F86185"/>
    <w:rsid w:val="00F93112"/>
    <w:rsid w:val="00F9510A"/>
    <w:rsid w:val="00F97AE2"/>
    <w:rsid w:val="00FA07F5"/>
    <w:rsid w:val="00FA10FE"/>
    <w:rsid w:val="00FA2226"/>
    <w:rsid w:val="00FA36D3"/>
    <w:rsid w:val="00FA3E1F"/>
    <w:rsid w:val="00FB4AE9"/>
    <w:rsid w:val="00FB530B"/>
    <w:rsid w:val="00FB5C8C"/>
    <w:rsid w:val="00FB72B4"/>
    <w:rsid w:val="00FB75EF"/>
    <w:rsid w:val="00FC22A8"/>
    <w:rsid w:val="00FC3FD2"/>
    <w:rsid w:val="00FC4664"/>
    <w:rsid w:val="00FC5321"/>
    <w:rsid w:val="00FC778C"/>
    <w:rsid w:val="00FD08B1"/>
    <w:rsid w:val="00FD4A07"/>
    <w:rsid w:val="00FD5D14"/>
    <w:rsid w:val="00FD76C6"/>
    <w:rsid w:val="00FE67DD"/>
    <w:rsid w:val="00FE67DE"/>
    <w:rsid w:val="00FF0249"/>
    <w:rsid w:val="00FF13B7"/>
    <w:rsid w:val="00FF7B70"/>
    <w:rsid w:val="00FF7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20AD"/>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6920A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920AD"/>
    <w:pPr>
      <w:keepNext/>
      <w:spacing w:before="240" w:after="60" w:line="240" w:lineRule="auto"/>
      <w:outlineLvl w:val="2"/>
    </w:pPr>
    <w:rPr>
      <w:rFonts w:ascii="Arial" w:eastAsia="Arial Unicode MS" w:hAnsi="Arial" w:cs="Arial"/>
      <w:b/>
      <w:bCs/>
      <w:sz w:val="26"/>
      <w:szCs w:val="26"/>
      <w:lang w:eastAsia="ru-RU"/>
    </w:rPr>
  </w:style>
  <w:style w:type="paragraph" w:styleId="5">
    <w:name w:val="heading 5"/>
    <w:basedOn w:val="a"/>
    <w:next w:val="a"/>
    <w:link w:val="50"/>
    <w:qFormat/>
    <w:rsid w:val="006920A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6920A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4"/>
    <w:unhideWhenUsed/>
    <w:rsid w:val="00C84029"/>
    <w:pPr>
      <w:spacing w:after="0" w:line="240" w:lineRule="auto"/>
    </w:pPr>
    <w:rPr>
      <w:sz w:val="20"/>
      <w:szCs w:val="20"/>
    </w:rPr>
  </w:style>
  <w:style w:type="character" w:customStyle="1" w:styleId="a4">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link w:val="a3"/>
    <w:rsid w:val="00C84029"/>
    <w:rPr>
      <w:sz w:val="20"/>
      <w:szCs w:val="20"/>
    </w:rPr>
  </w:style>
  <w:style w:type="character" w:styleId="a5">
    <w:name w:val="footnote reference"/>
    <w:basedOn w:val="a0"/>
    <w:semiHidden/>
    <w:rsid w:val="00C84029"/>
    <w:rPr>
      <w:vertAlign w:val="superscript"/>
    </w:rPr>
  </w:style>
  <w:style w:type="table" w:styleId="a6">
    <w:name w:val="Table Grid"/>
    <w:basedOn w:val="a1"/>
    <w:uiPriority w:val="59"/>
    <w:rsid w:val="00C840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C84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C84029"/>
    <w:rPr>
      <w:rFonts w:ascii="Tahoma" w:hAnsi="Tahoma" w:cs="Tahoma"/>
      <w:sz w:val="16"/>
      <w:szCs w:val="16"/>
    </w:rPr>
  </w:style>
  <w:style w:type="character" w:customStyle="1" w:styleId="10">
    <w:name w:val="Заголовок 1 Знак"/>
    <w:basedOn w:val="a0"/>
    <w:link w:val="1"/>
    <w:rsid w:val="006920A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20AD"/>
    <w:rPr>
      <w:rFonts w:ascii="Arial" w:eastAsia="Times New Roman" w:hAnsi="Arial" w:cs="Arial"/>
      <w:b/>
      <w:bCs/>
      <w:i/>
      <w:iCs/>
      <w:sz w:val="28"/>
      <w:szCs w:val="28"/>
      <w:lang w:eastAsia="ru-RU"/>
    </w:rPr>
  </w:style>
  <w:style w:type="character" w:customStyle="1" w:styleId="30">
    <w:name w:val="Заголовок 3 Знак"/>
    <w:basedOn w:val="a0"/>
    <w:link w:val="3"/>
    <w:rsid w:val="006920AD"/>
    <w:rPr>
      <w:rFonts w:ascii="Arial" w:eastAsia="Arial Unicode MS" w:hAnsi="Arial" w:cs="Arial"/>
      <w:b/>
      <w:bCs/>
      <w:sz w:val="26"/>
      <w:szCs w:val="26"/>
      <w:lang w:eastAsia="ru-RU"/>
    </w:rPr>
  </w:style>
  <w:style w:type="character" w:customStyle="1" w:styleId="50">
    <w:name w:val="Заголовок 5 Знак"/>
    <w:basedOn w:val="a0"/>
    <w:link w:val="5"/>
    <w:rsid w:val="006920A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920A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920AD"/>
  </w:style>
  <w:style w:type="paragraph" w:styleId="a9">
    <w:name w:val="footer"/>
    <w:basedOn w:val="a"/>
    <w:link w:val="aa"/>
    <w:uiPriority w:val="99"/>
    <w:rsid w:val="0069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6920AD"/>
    <w:rPr>
      <w:rFonts w:ascii="Times New Roman" w:eastAsia="Times New Roman" w:hAnsi="Times New Roman" w:cs="Times New Roman"/>
      <w:sz w:val="20"/>
      <w:szCs w:val="20"/>
      <w:lang w:eastAsia="ru-RU"/>
    </w:rPr>
  </w:style>
  <w:style w:type="character" w:styleId="ab">
    <w:name w:val="page number"/>
    <w:basedOn w:val="a0"/>
    <w:rsid w:val="006920AD"/>
  </w:style>
  <w:style w:type="character" w:styleId="ac">
    <w:name w:val="Hyperlink"/>
    <w:basedOn w:val="a0"/>
    <w:rsid w:val="006920AD"/>
    <w:rPr>
      <w:color w:val="0000FF"/>
      <w:sz w:val="20"/>
      <w:szCs w:val="20"/>
      <w:u w:val="single"/>
    </w:rPr>
  </w:style>
  <w:style w:type="paragraph" w:styleId="ad">
    <w:name w:val="Body Text"/>
    <w:aliases w:val="Основной текст1,Основной текст Знак Знак,bt"/>
    <w:basedOn w:val="a"/>
    <w:link w:val="12"/>
    <w:rsid w:val="006920AD"/>
    <w:pPr>
      <w:spacing w:after="0" w:line="240" w:lineRule="auto"/>
      <w:jc w:val="both"/>
    </w:pPr>
    <w:rPr>
      <w:rFonts w:ascii="Times New Roman" w:eastAsia="Times New Roman" w:hAnsi="Times New Roman" w:cs="Times New Roman"/>
      <w:b/>
      <w:sz w:val="24"/>
      <w:szCs w:val="20"/>
      <w:lang w:eastAsia="ru-RU"/>
    </w:rPr>
  </w:style>
  <w:style w:type="character" w:customStyle="1" w:styleId="ae">
    <w:name w:val="Основной текст Знак"/>
    <w:basedOn w:val="a0"/>
    <w:uiPriority w:val="99"/>
    <w:rsid w:val="006920AD"/>
  </w:style>
  <w:style w:type="character" w:customStyle="1" w:styleId="12">
    <w:name w:val="Основной текст Знак1"/>
    <w:aliases w:val="Основной текст1 Знак,Основной текст Знак Знак Знак,bt Знак"/>
    <w:basedOn w:val="a0"/>
    <w:link w:val="ad"/>
    <w:rsid w:val="006920AD"/>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6920A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6920AD"/>
    <w:rPr>
      <w:rFonts w:ascii="Times New Roman" w:eastAsia="Times New Roman" w:hAnsi="Times New Roman" w:cs="Times New Roman"/>
      <w:sz w:val="20"/>
      <w:szCs w:val="20"/>
      <w:lang w:eastAsia="ru-RU"/>
    </w:rPr>
  </w:style>
  <w:style w:type="paragraph" w:styleId="af1">
    <w:name w:val="header"/>
    <w:basedOn w:val="a"/>
    <w:link w:val="af2"/>
    <w:rsid w:val="0069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6920AD"/>
    <w:rPr>
      <w:rFonts w:ascii="Times New Roman" w:eastAsia="Times New Roman" w:hAnsi="Times New Roman" w:cs="Times New Roman"/>
      <w:sz w:val="20"/>
      <w:szCs w:val="20"/>
      <w:lang w:eastAsia="ru-RU"/>
    </w:rPr>
  </w:style>
  <w:style w:type="paragraph" w:styleId="31">
    <w:name w:val="Body Text 3"/>
    <w:basedOn w:val="a"/>
    <w:link w:val="32"/>
    <w:rsid w:val="006920AD"/>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920AD"/>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6920A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3">
    <w:name w:val="Название таблиц"/>
    <w:basedOn w:val="a"/>
    <w:rsid w:val="006920AD"/>
    <w:pPr>
      <w:spacing w:after="0" w:line="240" w:lineRule="auto"/>
      <w:jc w:val="center"/>
    </w:pPr>
    <w:rPr>
      <w:rFonts w:ascii="Times New Roman" w:eastAsia="Times New Roman" w:hAnsi="Times New Roman" w:cs="Times New Roman"/>
      <w:b/>
      <w:szCs w:val="24"/>
      <w:lang w:eastAsia="ru-RU"/>
    </w:rPr>
  </w:style>
  <w:style w:type="paragraph" w:customStyle="1" w:styleId="af4">
    <w:name w:val="обычный ежегодник"/>
    <w:basedOn w:val="a"/>
    <w:link w:val="af5"/>
    <w:rsid w:val="006920AD"/>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5">
    <w:name w:val="обычный ежегодник Знак"/>
    <w:basedOn w:val="a0"/>
    <w:link w:val="af4"/>
    <w:rsid w:val="006920AD"/>
    <w:rPr>
      <w:rFonts w:ascii="Times New Roman" w:eastAsia="Times New Roman" w:hAnsi="Times New Roman" w:cs="Times New Roman"/>
      <w:sz w:val="16"/>
      <w:szCs w:val="24"/>
      <w:lang w:eastAsia="ru-RU"/>
    </w:rPr>
  </w:style>
  <w:style w:type="paragraph" w:styleId="af6">
    <w:name w:val="caption"/>
    <w:basedOn w:val="a"/>
    <w:next w:val="a"/>
    <w:qFormat/>
    <w:rsid w:val="006920AD"/>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paragraph" w:customStyle="1" w:styleId="22">
    <w:name w:val="2"/>
    <w:basedOn w:val="a"/>
    <w:next w:val="2"/>
    <w:autoRedefine/>
    <w:rsid w:val="006920AD"/>
    <w:pPr>
      <w:spacing w:after="0" w:line="240" w:lineRule="auto"/>
      <w:ind w:firstLine="709"/>
      <w:jc w:val="both"/>
    </w:pPr>
    <w:rPr>
      <w:rFonts w:ascii="Times New Roman" w:eastAsia="Times New Roman" w:hAnsi="Times New Roman" w:cs="Times New Roman"/>
      <w:sz w:val="24"/>
      <w:szCs w:val="20"/>
    </w:rPr>
  </w:style>
  <w:style w:type="paragraph" w:customStyle="1" w:styleId="13">
    <w:name w:val="Знак1"/>
    <w:basedOn w:val="a"/>
    <w:link w:val="14"/>
    <w:rsid w:val="006920AD"/>
    <w:pPr>
      <w:spacing w:after="0" w:line="240" w:lineRule="auto"/>
    </w:pPr>
    <w:rPr>
      <w:rFonts w:ascii="Verdana" w:eastAsia="Times New Roman" w:hAnsi="Verdana" w:cs="Verdana"/>
      <w:sz w:val="20"/>
      <w:szCs w:val="20"/>
      <w:lang w:val="en-US"/>
    </w:rPr>
  </w:style>
  <w:style w:type="paragraph" w:customStyle="1" w:styleId="220">
    <w:name w:val="Основной текст с отступом 22"/>
    <w:basedOn w:val="a"/>
    <w:rsid w:val="006920A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7">
    <w:name w:val="Документ"/>
    <w:basedOn w:val="a"/>
    <w:rsid w:val="006920AD"/>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920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6920A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920AD"/>
    <w:rPr>
      <w:rFonts w:ascii="Times New Roman" w:eastAsia="Times New Roman" w:hAnsi="Times New Roman" w:cs="Times New Roman"/>
      <w:sz w:val="20"/>
      <w:szCs w:val="20"/>
      <w:lang w:eastAsia="ru-RU"/>
    </w:rPr>
  </w:style>
  <w:style w:type="paragraph" w:styleId="33">
    <w:name w:val="Body Text Indent 3"/>
    <w:basedOn w:val="a"/>
    <w:link w:val="34"/>
    <w:rsid w:val="006920AD"/>
    <w:pPr>
      <w:spacing w:after="0" w:line="252" w:lineRule="auto"/>
      <w:ind w:firstLine="708"/>
      <w:jc w:val="both"/>
    </w:pPr>
    <w:rPr>
      <w:rFonts w:ascii="Times New Roman" w:eastAsia="Times New Roman" w:hAnsi="Times New Roman" w:cs="Times New Roman"/>
      <w:b/>
      <w:i/>
      <w:iCs/>
      <w:sz w:val="24"/>
      <w:szCs w:val="24"/>
      <w:lang w:eastAsia="ru-RU"/>
    </w:rPr>
  </w:style>
  <w:style w:type="character" w:customStyle="1" w:styleId="34">
    <w:name w:val="Основной текст с отступом 3 Знак"/>
    <w:basedOn w:val="a0"/>
    <w:link w:val="33"/>
    <w:rsid w:val="006920AD"/>
    <w:rPr>
      <w:rFonts w:ascii="Times New Roman" w:eastAsia="Times New Roman" w:hAnsi="Times New Roman" w:cs="Times New Roman"/>
      <w:b/>
      <w:i/>
      <w:iCs/>
      <w:sz w:val="24"/>
      <w:szCs w:val="24"/>
      <w:lang w:eastAsia="ru-RU"/>
    </w:rPr>
  </w:style>
  <w:style w:type="paragraph" w:customStyle="1" w:styleId="ConsNormal">
    <w:name w:val="ConsNormal"/>
    <w:rsid w:val="006920AD"/>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920A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6920AD"/>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692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6920A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6920AD"/>
    <w:rPr>
      <w:rFonts w:ascii="Times New Roman" w:eastAsia="Times New Roman" w:hAnsi="Times New Roman" w:cs="Times New Roman"/>
      <w:sz w:val="24"/>
      <w:szCs w:val="24"/>
      <w:lang w:eastAsia="ru-RU"/>
    </w:rPr>
  </w:style>
  <w:style w:type="paragraph" w:customStyle="1" w:styleId="ConsPlusTitle">
    <w:name w:val="ConsPlusTitle"/>
    <w:uiPriority w:val="99"/>
    <w:rsid w:val="006920A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Основной текст.Основной текст Знак"/>
    <w:rsid w:val="006920AD"/>
    <w:pPr>
      <w:spacing w:after="0" w:line="240" w:lineRule="auto"/>
      <w:jc w:val="both"/>
    </w:pPr>
    <w:rPr>
      <w:rFonts w:ascii="Times New Roman" w:eastAsia="Times New Roman" w:hAnsi="Times New Roman" w:cs="Times New Roman"/>
      <w:sz w:val="28"/>
      <w:szCs w:val="20"/>
      <w:lang w:eastAsia="ru-RU"/>
    </w:rPr>
  </w:style>
  <w:style w:type="paragraph" w:customStyle="1" w:styleId="af9">
    <w:name w:val="Знак"/>
    <w:basedOn w:val="a"/>
    <w:rsid w:val="006920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1"/>
    <w:basedOn w:val="a"/>
    <w:rsid w:val="006920AD"/>
    <w:pPr>
      <w:spacing w:after="0" w:line="240" w:lineRule="auto"/>
    </w:pPr>
    <w:rPr>
      <w:rFonts w:ascii="Verdana" w:eastAsia="Times New Roman" w:hAnsi="Verdana" w:cs="Verdana"/>
      <w:sz w:val="20"/>
      <w:szCs w:val="20"/>
      <w:lang w:val="en-US"/>
    </w:rPr>
  </w:style>
  <w:style w:type="paragraph" w:customStyle="1" w:styleId="ConsCell">
    <w:name w:val="ConsCell"/>
    <w:rsid w:val="00692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6920AD"/>
    <w:pPr>
      <w:spacing w:after="0" w:line="240" w:lineRule="auto"/>
      <w:ind w:left="-108"/>
    </w:pPr>
    <w:rPr>
      <w:rFonts w:ascii="Times New Roman" w:eastAsia="Times New Roman" w:hAnsi="Times New Roman" w:cs="Times New Roman"/>
      <w:sz w:val="24"/>
      <w:szCs w:val="20"/>
      <w:lang w:eastAsia="ru-RU"/>
    </w:rPr>
  </w:style>
  <w:style w:type="paragraph" w:customStyle="1" w:styleId="ConsPlusCell">
    <w:name w:val="ConsPlusCell"/>
    <w:uiPriority w:val="99"/>
    <w:rsid w:val="00692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7">
    <w:name w:val="Знак2"/>
    <w:basedOn w:val="a"/>
    <w:rsid w:val="006920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1 Знак Знак Знак"/>
    <w:basedOn w:val="a"/>
    <w:rsid w:val="006920AD"/>
    <w:pPr>
      <w:spacing w:after="160" w:line="240" w:lineRule="exact"/>
    </w:pPr>
    <w:rPr>
      <w:rFonts w:ascii="Times New Roman" w:eastAsia="Times New Roman" w:hAnsi="Times New Roman" w:cs="Times New Roman"/>
      <w:sz w:val="20"/>
      <w:szCs w:val="20"/>
      <w:lang w:eastAsia="zh-CN"/>
    </w:rPr>
  </w:style>
  <w:style w:type="paragraph" w:customStyle="1" w:styleId="28">
    <w:name w:val="Знак2 Знак Знак Знак Знак Знак Знак Знак Знак Знак"/>
    <w:basedOn w:val="a"/>
    <w:rsid w:val="006920AD"/>
    <w:pPr>
      <w:spacing w:after="0" w:line="240" w:lineRule="auto"/>
    </w:pPr>
    <w:rPr>
      <w:rFonts w:ascii="Verdana" w:eastAsia="Times New Roman" w:hAnsi="Verdana" w:cs="Verdana"/>
      <w:sz w:val="20"/>
      <w:szCs w:val="20"/>
      <w:lang w:val="en-US"/>
    </w:rPr>
  </w:style>
  <w:style w:type="paragraph" w:customStyle="1" w:styleId="4">
    <w:name w:val="Знак4"/>
    <w:basedOn w:val="a"/>
    <w:rsid w:val="006920AD"/>
    <w:pPr>
      <w:widowControl w:val="0"/>
      <w:adjustRightInd w:val="0"/>
      <w:spacing w:after="160" w:line="240" w:lineRule="exact"/>
      <w:jc w:val="right"/>
    </w:pPr>
    <w:rPr>
      <w:rFonts w:ascii="Times New Roman" w:eastAsia="Times New Roman" w:hAnsi="Times New Roman" w:cs="Arial"/>
      <w:sz w:val="20"/>
      <w:szCs w:val="20"/>
      <w:lang w:val="en-GB"/>
    </w:rPr>
  </w:style>
  <w:style w:type="character" w:customStyle="1" w:styleId="51">
    <w:name w:val="Знак Знак5"/>
    <w:basedOn w:val="a0"/>
    <w:locked/>
    <w:rsid w:val="006920AD"/>
    <w:rPr>
      <w:b/>
      <w:sz w:val="24"/>
      <w:lang w:val="ru-RU" w:eastAsia="ru-RU" w:bidi="ar-SA"/>
    </w:rPr>
  </w:style>
  <w:style w:type="paragraph" w:customStyle="1" w:styleId="align-justify">
    <w:name w:val="align-justify"/>
    <w:basedOn w:val="a"/>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ad">
    <w:name w:val="comments_bad"/>
    <w:basedOn w:val="a"/>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Знак Знак8"/>
    <w:basedOn w:val="a0"/>
    <w:rsid w:val="006920AD"/>
    <w:rPr>
      <w:sz w:val="24"/>
      <w:szCs w:val="24"/>
      <w:lang w:val="ru-RU" w:eastAsia="ru-RU" w:bidi="ar-SA"/>
    </w:rPr>
  </w:style>
  <w:style w:type="paragraph" w:styleId="afa">
    <w:name w:val="List Paragraph"/>
    <w:basedOn w:val="a"/>
    <w:uiPriority w:val="34"/>
    <w:qFormat/>
    <w:rsid w:val="006920A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ocked/>
    <w:rsid w:val="006920AD"/>
  </w:style>
  <w:style w:type="paragraph" w:customStyle="1" w:styleId="xl74">
    <w:name w:val="xl74"/>
    <w:basedOn w:val="a"/>
    <w:rsid w:val="006920AD"/>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styleId="afb">
    <w:name w:val="endnote text"/>
    <w:basedOn w:val="a"/>
    <w:link w:val="afc"/>
    <w:uiPriority w:val="99"/>
    <w:semiHidden/>
    <w:unhideWhenUsed/>
    <w:rsid w:val="006920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6920AD"/>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6920AD"/>
    <w:rPr>
      <w:vertAlign w:val="superscript"/>
    </w:rPr>
  </w:style>
  <w:style w:type="paragraph" w:customStyle="1" w:styleId="afe">
    <w:name w:val="Основной текст с отступом.Надин стиль"/>
    <w:basedOn w:val="a"/>
    <w:rsid w:val="006920AD"/>
    <w:pPr>
      <w:spacing w:after="0" w:line="240" w:lineRule="auto"/>
      <w:ind w:right="-766" w:firstLine="720"/>
      <w:jc w:val="both"/>
    </w:pPr>
    <w:rPr>
      <w:rFonts w:ascii="Times New Roman" w:eastAsia="Times New Roman" w:hAnsi="Times New Roman" w:cs="Times New Roman"/>
      <w:sz w:val="28"/>
      <w:szCs w:val="20"/>
      <w:lang w:eastAsia="ru-RU"/>
    </w:rPr>
  </w:style>
  <w:style w:type="numbering" w:customStyle="1" w:styleId="111">
    <w:name w:val="Нет списка11"/>
    <w:next w:val="a2"/>
    <w:semiHidden/>
    <w:unhideWhenUsed/>
    <w:rsid w:val="006920AD"/>
  </w:style>
  <w:style w:type="character" w:customStyle="1" w:styleId="14">
    <w:name w:val="Знак1 Знак"/>
    <w:basedOn w:val="a0"/>
    <w:link w:val="13"/>
    <w:locked/>
    <w:rsid w:val="006920AD"/>
    <w:rPr>
      <w:rFonts w:ascii="Verdana" w:eastAsia="Times New Roman" w:hAnsi="Verdana" w:cs="Verdana"/>
      <w:sz w:val="20"/>
      <w:szCs w:val="20"/>
      <w:lang w:val="en-US"/>
    </w:rPr>
  </w:style>
  <w:style w:type="paragraph" w:styleId="aff">
    <w:name w:val="Normal (Web)"/>
    <w:basedOn w:val="a"/>
    <w:uiPriority w:val="99"/>
    <w:unhideWhenUsed/>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920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9">
    <w:name w:val="Нет списка2"/>
    <w:next w:val="a2"/>
    <w:semiHidden/>
    <w:unhideWhenUsed/>
    <w:rsid w:val="00097BE3"/>
  </w:style>
  <w:style w:type="table" w:customStyle="1" w:styleId="17">
    <w:name w:val="Сетка таблицы1"/>
    <w:basedOn w:val="a1"/>
    <w:next w:val="a6"/>
    <w:rsid w:val="00097B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w:basedOn w:val="a"/>
    <w:rsid w:val="00097BE3"/>
    <w:pPr>
      <w:spacing w:after="160" w:line="240" w:lineRule="exact"/>
    </w:pPr>
    <w:rPr>
      <w:rFonts w:ascii="Times New Roman" w:eastAsia="Times New Roman" w:hAnsi="Times New Roman" w:cs="Times New Roman"/>
      <w:sz w:val="20"/>
      <w:szCs w:val="20"/>
      <w:lang w:eastAsia="zh-CN"/>
    </w:rPr>
  </w:style>
  <w:style w:type="paragraph" w:customStyle="1" w:styleId="112">
    <w:name w:val="Знак1 Знак Знак1 Знак Знак Знак Знак"/>
    <w:basedOn w:val="a"/>
    <w:rsid w:val="00AE25F1"/>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uiPriority w:val="99"/>
    <w:semiHidden/>
    <w:unhideWhenUsed/>
    <w:rsid w:val="00EB28EA"/>
  </w:style>
  <w:style w:type="numbering" w:customStyle="1" w:styleId="120">
    <w:name w:val="Нет списка12"/>
    <w:next w:val="a2"/>
    <w:semiHidden/>
    <w:unhideWhenUsed/>
    <w:rsid w:val="00EB28EA"/>
  </w:style>
  <w:style w:type="table" w:customStyle="1" w:styleId="36">
    <w:name w:val="Сетка таблицы3"/>
    <w:basedOn w:val="a1"/>
    <w:next w:val="a6"/>
    <w:uiPriority w:val="59"/>
    <w:rsid w:val="00BA6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401EF2"/>
    <w:pPr>
      <w:spacing w:after="0" w:line="240" w:lineRule="auto"/>
    </w:pPr>
    <w:rPr>
      <w:rFonts w:ascii="Times New Roman" w:eastAsia="Times New Roman" w:hAnsi="Times New Roman" w:cs="Times New Roman"/>
      <w:sz w:val="24"/>
      <w:szCs w:val="24"/>
      <w:lang w:eastAsia="ru-RU"/>
    </w:rPr>
  </w:style>
  <w:style w:type="paragraph" w:customStyle="1" w:styleId="aff2">
    <w:name w:val="Базовый"/>
    <w:rsid w:val="00FB4AE9"/>
    <w:pPr>
      <w:tabs>
        <w:tab w:val="left" w:pos="709"/>
      </w:tabs>
      <w:suppressAutoHyphens/>
      <w:spacing w:line="276" w:lineRule="atLeast"/>
    </w:pPr>
    <w:rPr>
      <w:rFonts w:ascii="Calibri" w:eastAsia="Lucida Sans Unicode"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20AD"/>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6920A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920AD"/>
    <w:pPr>
      <w:keepNext/>
      <w:spacing w:before="240" w:after="60" w:line="240" w:lineRule="auto"/>
      <w:outlineLvl w:val="2"/>
    </w:pPr>
    <w:rPr>
      <w:rFonts w:ascii="Arial" w:eastAsia="Arial Unicode MS" w:hAnsi="Arial" w:cs="Arial"/>
      <w:b/>
      <w:bCs/>
      <w:sz w:val="26"/>
      <w:szCs w:val="26"/>
      <w:lang w:eastAsia="ru-RU"/>
    </w:rPr>
  </w:style>
  <w:style w:type="paragraph" w:styleId="5">
    <w:name w:val="heading 5"/>
    <w:basedOn w:val="a"/>
    <w:next w:val="a"/>
    <w:link w:val="50"/>
    <w:qFormat/>
    <w:rsid w:val="006920A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6920A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4"/>
    <w:unhideWhenUsed/>
    <w:rsid w:val="00C84029"/>
    <w:pPr>
      <w:spacing w:after="0" w:line="240" w:lineRule="auto"/>
    </w:pPr>
    <w:rPr>
      <w:sz w:val="20"/>
      <w:szCs w:val="20"/>
    </w:rPr>
  </w:style>
  <w:style w:type="character" w:customStyle="1" w:styleId="a4">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link w:val="a3"/>
    <w:rsid w:val="00C84029"/>
    <w:rPr>
      <w:sz w:val="20"/>
      <w:szCs w:val="20"/>
    </w:rPr>
  </w:style>
  <w:style w:type="character" w:styleId="a5">
    <w:name w:val="footnote reference"/>
    <w:basedOn w:val="a0"/>
    <w:semiHidden/>
    <w:rsid w:val="00C84029"/>
    <w:rPr>
      <w:vertAlign w:val="superscript"/>
    </w:rPr>
  </w:style>
  <w:style w:type="table" w:styleId="a6">
    <w:name w:val="Table Grid"/>
    <w:basedOn w:val="a1"/>
    <w:uiPriority w:val="59"/>
    <w:rsid w:val="00C840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C84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C84029"/>
    <w:rPr>
      <w:rFonts w:ascii="Tahoma" w:hAnsi="Tahoma" w:cs="Tahoma"/>
      <w:sz w:val="16"/>
      <w:szCs w:val="16"/>
    </w:rPr>
  </w:style>
  <w:style w:type="character" w:customStyle="1" w:styleId="10">
    <w:name w:val="Заголовок 1 Знак"/>
    <w:basedOn w:val="a0"/>
    <w:link w:val="1"/>
    <w:rsid w:val="006920A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20AD"/>
    <w:rPr>
      <w:rFonts w:ascii="Arial" w:eastAsia="Times New Roman" w:hAnsi="Arial" w:cs="Arial"/>
      <w:b/>
      <w:bCs/>
      <w:i/>
      <w:iCs/>
      <w:sz w:val="28"/>
      <w:szCs w:val="28"/>
      <w:lang w:eastAsia="ru-RU"/>
    </w:rPr>
  </w:style>
  <w:style w:type="character" w:customStyle="1" w:styleId="30">
    <w:name w:val="Заголовок 3 Знак"/>
    <w:basedOn w:val="a0"/>
    <w:link w:val="3"/>
    <w:rsid w:val="006920AD"/>
    <w:rPr>
      <w:rFonts w:ascii="Arial" w:eastAsia="Arial Unicode MS" w:hAnsi="Arial" w:cs="Arial"/>
      <w:b/>
      <w:bCs/>
      <w:sz w:val="26"/>
      <w:szCs w:val="26"/>
      <w:lang w:eastAsia="ru-RU"/>
    </w:rPr>
  </w:style>
  <w:style w:type="character" w:customStyle="1" w:styleId="50">
    <w:name w:val="Заголовок 5 Знак"/>
    <w:basedOn w:val="a0"/>
    <w:link w:val="5"/>
    <w:rsid w:val="006920A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920A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920AD"/>
  </w:style>
  <w:style w:type="paragraph" w:styleId="a9">
    <w:name w:val="footer"/>
    <w:basedOn w:val="a"/>
    <w:link w:val="aa"/>
    <w:uiPriority w:val="99"/>
    <w:rsid w:val="0069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6920AD"/>
    <w:rPr>
      <w:rFonts w:ascii="Times New Roman" w:eastAsia="Times New Roman" w:hAnsi="Times New Roman" w:cs="Times New Roman"/>
      <w:sz w:val="20"/>
      <w:szCs w:val="20"/>
      <w:lang w:eastAsia="ru-RU"/>
    </w:rPr>
  </w:style>
  <w:style w:type="character" w:styleId="ab">
    <w:name w:val="page number"/>
    <w:basedOn w:val="a0"/>
    <w:rsid w:val="006920AD"/>
  </w:style>
  <w:style w:type="character" w:styleId="ac">
    <w:name w:val="Hyperlink"/>
    <w:basedOn w:val="a0"/>
    <w:rsid w:val="006920AD"/>
    <w:rPr>
      <w:color w:val="0000FF"/>
      <w:sz w:val="20"/>
      <w:szCs w:val="20"/>
      <w:u w:val="single"/>
    </w:rPr>
  </w:style>
  <w:style w:type="paragraph" w:styleId="ad">
    <w:name w:val="Body Text"/>
    <w:aliases w:val="Основной текст1,Основной текст Знак Знак,bt"/>
    <w:basedOn w:val="a"/>
    <w:link w:val="12"/>
    <w:rsid w:val="006920AD"/>
    <w:pPr>
      <w:spacing w:after="0" w:line="240" w:lineRule="auto"/>
      <w:jc w:val="both"/>
    </w:pPr>
    <w:rPr>
      <w:rFonts w:ascii="Times New Roman" w:eastAsia="Times New Roman" w:hAnsi="Times New Roman" w:cs="Times New Roman"/>
      <w:b/>
      <w:sz w:val="24"/>
      <w:szCs w:val="20"/>
      <w:lang w:eastAsia="ru-RU"/>
    </w:rPr>
  </w:style>
  <w:style w:type="character" w:customStyle="1" w:styleId="ae">
    <w:name w:val="Основной текст Знак"/>
    <w:basedOn w:val="a0"/>
    <w:uiPriority w:val="99"/>
    <w:rsid w:val="006920AD"/>
  </w:style>
  <w:style w:type="character" w:customStyle="1" w:styleId="12">
    <w:name w:val="Основной текст Знак1"/>
    <w:aliases w:val="Основной текст1 Знак,Основной текст Знак Знак Знак,bt Знак"/>
    <w:basedOn w:val="a0"/>
    <w:link w:val="ad"/>
    <w:rsid w:val="006920AD"/>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6920A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6920AD"/>
    <w:rPr>
      <w:rFonts w:ascii="Times New Roman" w:eastAsia="Times New Roman" w:hAnsi="Times New Roman" w:cs="Times New Roman"/>
      <w:sz w:val="20"/>
      <w:szCs w:val="20"/>
      <w:lang w:eastAsia="ru-RU"/>
    </w:rPr>
  </w:style>
  <w:style w:type="paragraph" w:styleId="af1">
    <w:name w:val="header"/>
    <w:basedOn w:val="a"/>
    <w:link w:val="af2"/>
    <w:rsid w:val="0069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6920AD"/>
    <w:rPr>
      <w:rFonts w:ascii="Times New Roman" w:eastAsia="Times New Roman" w:hAnsi="Times New Roman" w:cs="Times New Roman"/>
      <w:sz w:val="20"/>
      <w:szCs w:val="20"/>
      <w:lang w:eastAsia="ru-RU"/>
    </w:rPr>
  </w:style>
  <w:style w:type="paragraph" w:styleId="31">
    <w:name w:val="Body Text 3"/>
    <w:basedOn w:val="a"/>
    <w:link w:val="32"/>
    <w:rsid w:val="006920AD"/>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920AD"/>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6920A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3">
    <w:name w:val="Название таблиц"/>
    <w:basedOn w:val="a"/>
    <w:rsid w:val="006920AD"/>
    <w:pPr>
      <w:spacing w:after="0" w:line="240" w:lineRule="auto"/>
      <w:jc w:val="center"/>
    </w:pPr>
    <w:rPr>
      <w:rFonts w:ascii="Times New Roman" w:eastAsia="Times New Roman" w:hAnsi="Times New Roman" w:cs="Times New Roman"/>
      <w:b/>
      <w:szCs w:val="24"/>
      <w:lang w:eastAsia="ru-RU"/>
    </w:rPr>
  </w:style>
  <w:style w:type="paragraph" w:customStyle="1" w:styleId="af4">
    <w:name w:val="обычный ежегодник"/>
    <w:basedOn w:val="a"/>
    <w:link w:val="af5"/>
    <w:rsid w:val="006920AD"/>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5">
    <w:name w:val="обычный ежегодник Знак"/>
    <w:basedOn w:val="a0"/>
    <w:link w:val="af4"/>
    <w:rsid w:val="006920AD"/>
    <w:rPr>
      <w:rFonts w:ascii="Times New Roman" w:eastAsia="Times New Roman" w:hAnsi="Times New Roman" w:cs="Times New Roman"/>
      <w:sz w:val="16"/>
      <w:szCs w:val="24"/>
      <w:lang w:eastAsia="ru-RU"/>
    </w:rPr>
  </w:style>
  <w:style w:type="paragraph" w:styleId="af6">
    <w:name w:val="caption"/>
    <w:basedOn w:val="a"/>
    <w:next w:val="a"/>
    <w:qFormat/>
    <w:rsid w:val="006920AD"/>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paragraph" w:customStyle="1" w:styleId="22">
    <w:name w:val="2"/>
    <w:basedOn w:val="a"/>
    <w:next w:val="2"/>
    <w:autoRedefine/>
    <w:rsid w:val="006920AD"/>
    <w:pPr>
      <w:spacing w:after="0" w:line="240" w:lineRule="auto"/>
      <w:ind w:firstLine="709"/>
      <w:jc w:val="both"/>
    </w:pPr>
    <w:rPr>
      <w:rFonts w:ascii="Times New Roman" w:eastAsia="Times New Roman" w:hAnsi="Times New Roman" w:cs="Times New Roman"/>
      <w:sz w:val="24"/>
      <w:szCs w:val="20"/>
    </w:rPr>
  </w:style>
  <w:style w:type="paragraph" w:customStyle="1" w:styleId="13">
    <w:name w:val="Знак1"/>
    <w:basedOn w:val="a"/>
    <w:link w:val="14"/>
    <w:rsid w:val="006920AD"/>
    <w:pPr>
      <w:spacing w:after="0" w:line="240" w:lineRule="auto"/>
    </w:pPr>
    <w:rPr>
      <w:rFonts w:ascii="Verdana" w:eastAsia="Times New Roman" w:hAnsi="Verdana" w:cs="Verdana"/>
      <w:sz w:val="20"/>
      <w:szCs w:val="20"/>
      <w:lang w:val="en-US"/>
    </w:rPr>
  </w:style>
  <w:style w:type="paragraph" w:customStyle="1" w:styleId="220">
    <w:name w:val="Основной текст с отступом 22"/>
    <w:basedOn w:val="a"/>
    <w:rsid w:val="006920A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7">
    <w:name w:val="Документ"/>
    <w:basedOn w:val="a"/>
    <w:rsid w:val="006920AD"/>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920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6920A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920AD"/>
    <w:rPr>
      <w:rFonts w:ascii="Times New Roman" w:eastAsia="Times New Roman" w:hAnsi="Times New Roman" w:cs="Times New Roman"/>
      <w:sz w:val="20"/>
      <w:szCs w:val="20"/>
      <w:lang w:eastAsia="ru-RU"/>
    </w:rPr>
  </w:style>
  <w:style w:type="paragraph" w:styleId="33">
    <w:name w:val="Body Text Indent 3"/>
    <w:basedOn w:val="a"/>
    <w:link w:val="34"/>
    <w:rsid w:val="006920AD"/>
    <w:pPr>
      <w:spacing w:after="0" w:line="252" w:lineRule="auto"/>
      <w:ind w:firstLine="708"/>
      <w:jc w:val="both"/>
    </w:pPr>
    <w:rPr>
      <w:rFonts w:ascii="Times New Roman" w:eastAsia="Times New Roman" w:hAnsi="Times New Roman" w:cs="Times New Roman"/>
      <w:b/>
      <w:i/>
      <w:iCs/>
      <w:sz w:val="24"/>
      <w:szCs w:val="24"/>
      <w:lang w:eastAsia="ru-RU"/>
    </w:rPr>
  </w:style>
  <w:style w:type="character" w:customStyle="1" w:styleId="34">
    <w:name w:val="Основной текст с отступом 3 Знак"/>
    <w:basedOn w:val="a0"/>
    <w:link w:val="33"/>
    <w:rsid w:val="006920AD"/>
    <w:rPr>
      <w:rFonts w:ascii="Times New Roman" w:eastAsia="Times New Roman" w:hAnsi="Times New Roman" w:cs="Times New Roman"/>
      <w:b/>
      <w:i/>
      <w:iCs/>
      <w:sz w:val="24"/>
      <w:szCs w:val="24"/>
      <w:lang w:eastAsia="ru-RU"/>
    </w:rPr>
  </w:style>
  <w:style w:type="paragraph" w:customStyle="1" w:styleId="ConsNormal">
    <w:name w:val="ConsNormal"/>
    <w:rsid w:val="006920AD"/>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920A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6920AD"/>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692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6920A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6920AD"/>
    <w:rPr>
      <w:rFonts w:ascii="Times New Roman" w:eastAsia="Times New Roman" w:hAnsi="Times New Roman" w:cs="Times New Roman"/>
      <w:sz w:val="24"/>
      <w:szCs w:val="24"/>
      <w:lang w:eastAsia="ru-RU"/>
    </w:rPr>
  </w:style>
  <w:style w:type="paragraph" w:customStyle="1" w:styleId="ConsPlusTitle">
    <w:name w:val="ConsPlusTitle"/>
    <w:uiPriority w:val="99"/>
    <w:rsid w:val="006920A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Основной текст.Основной текст Знак"/>
    <w:rsid w:val="006920AD"/>
    <w:pPr>
      <w:spacing w:after="0" w:line="240" w:lineRule="auto"/>
      <w:jc w:val="both"/>
    </w:pPr>
    <w:rPr>
      <w:rFonts w:ascii="Times New Roman" w:eastAsia="Times New Roman" w:hAnsi="Times New Roman" w:cs="Times New Roman"/>
      <w:sz w:val="28"/>
      <w:szCs w:val="20"/>
      <w:lang w:eastAsia="ru-RU"/>
    </w:rPr>
  </w:style>
  <w:style w:type="paragraph" w:customStyle="1" w:styleId="af9">
    <w:name w:val="Знак"/>
    <w:basedOn w:val="a"/>
    <w:rsid w:val="006920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1"/>
    <w:basedOn w:val="a"/>
    <w:rsid w:val="006920AD"/>
    <w:pPr>
      <w:spacing w:after="0" w:line="240" w:lineRule="auto"/>
    </w:pPr>
    <w:rPr>
      <w:rFonts w:ascii="Verdana" w:eastAsia="Times New Roman" w:hAnsi="Verdana" w:cs="Verdana"/>
      <w:sz w:val="20"/>
      <w:szCs w:val="20"/>
      <w:lang w:val="en-US"/>
    </w:rPr>
  </w:style>
  <w:style w:type="paragraph" w:customStyle="1" w:styleId="ConsCell">
    <w:name w:val="ConsCell"/>
    <w:rsid w:val="00692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6920AD"/>
    <w:pPr>
      <w:spacing w:after="0" w:line="240" w:lineRule="auto"/>
      <w:ind w:left="-108"/>
    </w:pPr>
    <w:rPr>
      <w:rFonts w:ascii="Times New Roman" w:eastAsia="Times New Roman" w:hAnsi="Times New Roman" w:cs="Times New Roman"/>
      <w:sz w:val="24"/>
      <w:szCs w:val="20"/>
      <w:lang w:eastAsia="ru-RU"/>
    </w:rPr>
  </w:style>
  <w:style w:type="paragraph" w:customStyle="1" w:styleId="ConsPlusCell">
    <w:name w:val="ConsPlusCell"/>
    <w:uiPriority w:val="99"/>
    <w:rsid w:val="00692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7">
    <w:name w:val="Знак2"/>
    <w:basedOn w:val="a"/>
    <w:rsid w:val="006920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1 Знак Знак Знак"/>
    <w:basedOn w:val="a"/>
    <w:rsid w:val="006920AD"/>
    <w:pPr>
      <w:spacing w:after="160" w:line="240" w:lineRule="exact"/>
    </w:pPr>
    <w:rPr>
      <w:rFonts w:ascii="Times New Roman" w:eastAsia="Times New Roman" w:hAnsi="Times New Roman" w:cs="Times New Roman"/>
      <w:sz w:val="20"/>
      <w:szCs w:val="20"/>
      <w:lang w:eastAsia="zh-CN"/>
    </w:rPr>
  </w:style>
  <w:style w:type="paragraph" w:customStyle="1" w:styleId="28">
    <w:name w:val="Знак2 Знак Знак Знак Знак Знак Знак Знак Знак Знак"/>
    <w:basedOn w:val="a"/>
    <w:rsid w:val="006920AD"/>
    <w:pPr>
      <w:spacing w:after="0" w:line="240" w:lineRule="auto"/>
    </w:pPr>
    <w:rPr>
      <w:rFonts w:ascii="Verdana" w:eastAsia="Times New Roman" w:hAnsi="Verdana" w:cs="Verdana"/>
      <w:sz w:val="20"/>
      <w:szCs w:val="20"/>
      <w:lang w:val="en-US"/>
    </w:rPr>
  </w:style>
  <w:style w:type="paragraph" w:customStyle="1" w:styleId="4">
    <w:name w:val="Знак4"/>
    <w:basedOn w:val="a"/>
    <w:rsid w:val="006920AD"/>
    <w:pPr>
      <w:widowControl w:val="0"/>
      <w:adjustRightInd w:val="0"/>
      <w:spacing w:after="160" w:line="240" w:lineRule="exact"/>
      <w:jc w:val="right"/>
    </w:pPr>
    <w:rPr>
      <w:rFonts w:ascii="Times New Roman" w:eastAsia="Times New Roman" w:hAnsi="Times New Roman" w:cs="Arial"/>
      <w:sz w:val="20"/>
      <w:szCs w:val="20"/>
      <w:lang w:val="en-GB"/>
    </w:rPr>
  </w:style>
  <w:style w:type="character" w:customStyle="1" w:styleId="51">
    <w:name w:val="Знак Знак5"/>
    <w:basedOn w:val="a0"/>
    <w:locked/>
    <w:rsid w:val="006920AD"/>
    <w:rPr>
      <w:b/>
      <w:sz w:val="24"/>
      <w:lang w:val="ru-RU" w:eastAsia="ru-RU" w:bidi="ar-SA"/>
    </w:rPr>
  </w:style>
  <w:style w:type="paragraph" w:customStyle="1" w:styleId="align-justify">
    <w:name w:val="align-justify"/>
    <w:basedOn w:val="a"/>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ad">
    <w:name w:val="comments_bad"/>
    <w:basedOn w:val="a"/>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Знак Знак8"/>
    <w:basedOn w:val="a0"/>
    <w:rsid w:val="006920AD"/>
    <w:rPr>
      <w:sz w:val="24"/>
      <w:szCs w:val="24"/>
      <w:lang w:val="ru-RU" w:eastAsia="ru-RU" w:bidi="ar-SA"/>
    </w:rPr>
  </w:style>
  <w:style w:type="paragraph" w:styleId="afa">
    <w:name w:val="List Paragraph"/>
    <w:basedOn w:val="a"/>
    <w:uiPriority w:val="34"/>
    <w:qFormat/>
    <w:rsid w:val="006920A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ocked/>
    <w:rsid w:val="006920AD"/>
  </w:style>
  <w:style w:type="paragraph" w:customStyle="1" w:styleId="xl74">
    <w:name w:val="xl74"/>
    <w:basedOn w:val="a"/>
    <w:rsid w:val="006920AD"/>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styleId="afb">
    <w:name w:val="endnote text"/>
    <w:basedOn w:val="a"/>
    <w:link w:val="afc"/>
    <w:uiPriority w:val="99"/>
    <w:semiHidden/>
    <w:unhideWhenUsed/>
    <w:rsid w:val="006920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6920AD"/>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6920AD"/>
    <w:rPr>
      <w:vertAlign w:val="superscript"/>
    </w:rPr>
  </w:style>
  <w:style w:type="paragraph" w:customStyle="1" w:styleId="afe">
    <w:name w:val="Основной текст с отступом.Надин стиль"/>
    <w:basedOn w:val="a"/>
    <w:rsid w:val="006920AD"/>
    <w:pPr>
      <w:spacing w:after="0" w:line="240" w:lineRule="auto"/>
      <w:ind w:right="-766" w:firstLine="720"/>
      <w:jc w:val="both"/>
    </w:pPr>
    <w:rPr>
      <w:rFonts w:ascii="Times New Roman" w:eastAsia="Times New Roman" w:hAnsi="Times New Roman" w:cs="Times New Roman"/>
      <w:sz w:val="28"/>
      <w:szCs w:val="20"/>
      <w:lang w:eastAsia="ru-RU"/>
    </w:rPr>
  </w:style>
  <w:style w:type="numbering" w:customStyle="1" w:styleId="111">
    <w:name w:val="Нет списка11"/>
    <w:next w:val="a2"/>
    <w:semiHidden/>
    <w:unhideWhenUsed/>
    <w:rsid w:val="006920AD"/>
  </w:style>
  <w:style w:type="character" w:customStyle="1" w:styleId="14">
    <w:name w:val="Знак1 Знак"/>
    <w:basedOn w:val="a0"/>
    <w:link w:val="13"/>
    <w:locked/>
    <w:rsid w:val="006920AD"/>
    <w:rPr>
      <w:rFonts w:ascii="Verdana" w:eastAsia="Times New Roman" w:hAnsi="Verdana" w:cs="Verdana"/>
      <w:sz w:val="20"/>
      <w:szCs w:val="20"/>
      <w:lang w:val="en-US"/>
    </w:rPr>
  </w:style>
  <w:style w:type="paragraph" w:styleId="aff">
    <w:name w:val="Normal (Web)"/>
    <w:basedOn w:val="a"/>
    <w:uiPriority w:val="99"/>
    <w:unhideWhenUsed/>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920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9">
    <w:name w:val="Нет списка2"/>
    <w:next w:val="a2"/>
    <w:semiHidden/>
    <w:unhideWhenUsed/>
    <w:rsid w:val="00097BE3"/>
  </w:style>
  <w:style w:type="table" w:customStyle="1" w:styleId="17">
    <w:name w:val="Сетка таблицы1"/>
    <w:basedOn w:val="a1"/>
    <w:next w:val="a6"/>
    <w:rsid w:val="00097B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w:basedOn w:val="a"/>
    <w:rsid w:val="00097BE3"/>
    <w:pPr>
      <w:spacing w:after="160" w:line="240" w:lineRule="exact"/>
    </w:pPr>
    <w:rPr>
      <w:rFonts w:ascii="Times New Roman" w:eastAsia="Times New Roman" w:hAnsi="Times New Roman" w:cs="Times New Roman"/>
      <w:sz w:val="20"/>
      <w:szCs w:val="20"/>
      <w:lang w:eastAsia="zh-CN"/>
    </w:rPr>
  </w:style>
  <w:style w:type="paragraph" w:customStyle="1" w:styleId="112">
    <w:name w:val="Знак1 Знак Знак1 Знак Знак Знак Знак"/>
    <w:basedOn w:val="a"/>
    <w:rsid w:val="00AE25F1"/>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uiPriority w:val="99"/>
    <w:semiHidden/>
    <w:unhideWhenUsed/>
    <w:rsid w:val="00EB28EA"/>
  </w:style>
  <w:style w:type="numbering" w:customStyle="1" w:styleId="120">
    <w:name w:val="Нет списка12"/>
    <w:next w:val="a2"/>
    <w:semiHidden/>
    <w:unhideWhenUsed/>
    <w:rsid w:val="00EB28EA"/>
  </w:style>
  <w:style w:type="table" w:customStyle="1" w:styleId="36">
    <w:name w:val="Сетка таблицы3"/>
    <w:basedOn w:val="a1"/>
    <w:next w:val="a6"/>
    <w:uiPriority w:val="59"/>
    <w:rsid w:val="00BA6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401EF2"/>
    <w:pPr>
      <w:spacing w:after="0" w:line="240" w:lineRule="auto"/>
    </w:pPr>
    <w:rPr>
      <w:rFonts w:ascii="Times New Roman" w:eastAsia="Times New Roman" w:hAnsi="Times New Roman" w:cs="Times New Roman"/>
      <w:sz w:val="24"/>
      <w:szCs w:val="24"/>
      <w:lang w:eastAsia="ru-RU"/>
    </w:rPr>
  </w:style>
  <w:style w:type="paragraph" w:customStyle="1" w:styleId="aff2">
    <w:name w:val="Базовый"/>
    <w:rsid w:val="00FB4AE9"/>
    <w:pPr>
      <w:tabs>
        <w:tab w:val="left" w:pos="709"/>
      </w:tabs>
      <w:suppressAutoHyphens/>
      <w:spacing w:line="276" w:lineRule="atLeast"/>
    </w:pPr>
    <w:rPr>
      <w:rFonts w:ascii="Calibri" w:eastAsia="Lucida Sans Unicode"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5888">
      <w:bodyDiv w:val="1"/>
      <w:marLeft w:val="0"/>
      <w:marRight w:val="0"/>
      <w:marTop w:val="0"/>
      <w:marBottom w:val="0"/>
      <w:divBdr>
        <w:top w:val="none" w:sz="0" w:space="0" w:color="auto"/>
        <w:left w:val="none" w:sz="0" w:space="0" w:color="auto"/>
        <w:bottom w:val="none" w:sz="0" w:space="0" w:color="auto"/>
        <w:right w:val="none" w:sz="0" w:space="0" w:color="auto"/>
      </w:divBdr>
    </w:div>
    <w:div w:id="16924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consultantplus://offline/ref=C0E1B72D86FC69A85ABFE7381309345A4A9CC5BAD08E7BF728610E0AE690996D3D8739889E03847453942E143FD"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6.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7.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areaChart>
        <c:grouping val="standard"/>
        <c:varyColors val="0"/>
        <c:ser>
          <c:idx val="0"/>
          <c:order val="0"/>
          <c:tx>
            <c:strRef>
              <c:f>Лист1!$B$1</c:f>
              <c:strCache>
                <c:ptCount val="1"/>
                <c:pt idx="0">
                  <c:v>Денежные доходы (в среднем на душу населения в месяц), рублей</c:v>
                </c:pt>
              </c:strCache>
            </c:strRef>
          </c:tx>
          <c:spPr>
            <a:effectLst>
              <a:glow rad="139700">
                <a:schemeClr val="accent1">
                  <a:satMod val="175000"/>
                  <a:alpha val="40000"/>
                </a:schemeClr>
              </a:glow>
              <a:softEdge rad="0"/>
            </a:effectLst>
          </c:spPr>
          <c:dLbls>
            <c:dLbl>
              <c:idx val="0"/>
              <c:layout>
                <c:manualLayout>
                  <c:x val="3.9351851851851853E-2"/>
                  <c:y val="-0.19575253924284394"/>
                </c:manualLayout>
              </c:layout>
              <c:showLegendKey val="0"/>
              <c:showVal val="1"/>
              <c:showCatName val="0"/>
              <c:showSerName val="0"/>
              <c:showPercent val="0"/>
              <c:showBubbleSize val="0"/>
            </c:dLbl>
            <c:dLbl>
              <c:idx val="1"/>
              <c:layout>
                <c:manualLayout>
                  <c:x val="2.3148148148148147E-3"/>
                  <c:y val="-0.20683287165281622"/>
                </c:manualLayout>
              </c:layout>
              <c:showLegendKey val="0"/>
              <c:showVal val="1"/>
              <c:showCatName val="0"/>
              <c:showSerName val="0"/>
              <c:showPercent val="0"/>
              <c:showBubbleSize val="0"/>
            </c:dLbl>
            <c:dLbl>
              <c:idx val="2"/>
              <c:layout>
                <c:manualLayout>
                  <c:x val="-4.6296296296296294E-3"/>
                  <c:y val="-0.24746075715604801"/>
                </c:manualLayout>
              </c:layout>
              <c:showLegendKey val="0"/>
              <c:showVal val="1"/>
              <c:showCatName val="0"/>
              <c:showSerName val="0"/>
              <c:showPercent val="0"/>
              <c:showBubbleSize val="0"/>
            </c:dLbl>
            <c:dLbl>
              <c:idx val="3"/>
              <c:layout>
                <c:manualLayout>
                  <c:x val="-5.0925925925925923E-2"/>
                  <c:y val="-0.28439519852262235"/>
                </c:manualLayout>
              </c:layout>
              <c:showLegendKey val="0"/>
              <c:showVal val="1"/>
              <c:showCatName val="0"/>
              <c:showSerName val="0"/>
              <c:showPercent val="0"/>
              <c:showBubbleSize val="0"/>
            </c:dLbl>
            <c:txPr>
              <a:bodyPr anchor="t" anchorCtr="0"/>
              <a:lstStyle/>
              <a:p>
                <a:pPr>
                  <a:defRPr sz="1100" b="1"/>
                </a:pPr>
                <a:endParaRPr lang="ru-RU"/>
              </a:p>
            </c:txPr>
            <c:showLegendKey val="0"/>
            <c:showVal val="1"/>
            <c:showCatName val="0"/>
            <c:showSerName val="0"/>
            <c:showPercent val="0"/>
            <c:showBubbleSize val="0"/>
            <c:showLeaderLines val="0"/>
          </c:dLbls>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c:v>14334.6</c:v>
                </c:pt>
                <c:pt idx="1">
                  <c:v>17789.7</c:v>
                </c:pt>
                <c:pt idx="2">
                  <c:v>21800.3</c:v>
                </c:pt>
                <c:pt idx="3">
                  <c:v>24234.2</c:v>
                </c:pt>
              </c:numCache>
            </c:numRef>
          </c:val>
        </c:ser>
        <c:ser>
          <c:idx val="1"/>
          <c:order val="1"/>
          <c:tx>
            <c:strRef>
              <c:f>Лист1!$C$1</c:f>
              <c:strCache>
                <c:ptCount val="1"/>
                <c:pt idx="0">
                  <c:v>Величина прожиточного минимума (в среднем на душу населения), рублей в месяц</c:v>
                </c:pt>
              </c:strCache>
            </c:strRef>
          </c:tx>
          <c:dLbls>
            <c:dLbl>
              <c:idx val="0"/>
              <c:layout>
                <c:manualLayout>
                  <c:x val="3.7037037037037035E-2"/>
                  <c:y val="-0.11080332409972299"/>
                </c:manualLayout>
              </c:layout>
              <c:showLegendKey val="0"/>
              <c:showVal val="1"/>
              <c:showCatName val="0"/>
              <c:showSerName val="0"/>
              <c:showPercent val="0"/>
              <c:showBubbleSize val="0"/>
            </c:dLbl>
            <c:dLbl>
              <c:idx val="1"/>
              <c:layout>
                <c:manualLayout>
                  <c:x val="4.6296296296296294E-3"/>
                  <c:y val="-0.11449676823638043"/>
                </c:manualLayout>
              </c:layout>
              <c:showLegendKey val="0"/>
              <c:showVal val="1"/>
              <c:showCatName val="0"/>
              <c:showSerName val="0"/>
              <c:showPercent val="0"/>
              <c:showBubbleSize val="0"/>
            </c:dLbl>
            <c:dLbl>
              <c:idx val="2"/>
              <c:layout>
                <c:manualLayout>
                  <c:x val="0"/>
                  <c:y val="-0.11449676823638043"/>
                </c:manualLayout>
              </c:layout>
              <c:showLegendKey val="0"/>
              <c:showVal val="1"/>
              <c:showCatName val="0"/>
              <c:showSerName val="0"/>
              <c:showPercent val="0"/>
              <c:showBubbleSize val="0"/>
            </c:dLbl>
            <c:dLbl>
              <c:idx val="3"/>
              <c:layout>
                <c:manualLayout>
                  <c:x val="-3.0092592592592591E-2"/>
                  <c:y val="-0.12188365650969529"/>
                </c:manualLayout>
              </c:layout>
              <c:showLegendKey val="0"/>
              <c:showVal val="1"/>
              <c:showCatName val="0"/>
              <c:showSerName val="0"/>
              <c:showPercent val="0"/>
              <c:showBubbleSize val="0"/>
            </c:dLbl>
            <c:txPr>
              <a:bodyPr/>
              <a:lstStyle/>
              <a:p>
                <a:pPr>
                  <a:defRPr sz="1100" b="1">
                    <a:solidFill>
                      <a:schemeClr val="bg1"/>
                    </a:solidFill>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2010</c:v>
                </c:pt>
                <c:pt idx="1">
                  <c:v>2011</c:v>
                </c:pt>
                <c:pt idx="2">
                  <c:v>2012</c:v>
                </c:pt>
                <c:pt idx="3">
                  <c:v>2013</c:v>
                </c:pt>
              </c:numCache>
            </c:numRef>
          </c:cat>
          <c:val>
            <c:numRef>
              <c:f>Лист1!$C$2:$C$5</c:f>
              <c:numCache>
                <c:formatCode>General</c:formatCode>
                <c:ptCount val="4"/>
                <c:pt idx="0">
                  <c:v>7067</c:v>
                </c:pt>
                <c:pt idx="1">
                  <c:v>7913</c:v>
                </c:pt>
                <c:pt idx="2">
                  <c:v>8217</c:v>
                </c:pt>
                <c:pt idx="3">
                  <c:v>9003</c:v>
                </c:pt>
              </c:numCache>
            </c:numRef>
          </c:val>
        </c:ser>
        <c:dLbls>
          <c:showLegendKey val="0"/>
          <c:showVal val="1"/>
          <c:showCatName val="0"/>
          <c:showSerName val="0"/>
          <c:showPercent val="0"/>
          <c:showBubbleSize val="0"/>
        </c:dLbls>
        <c:axId val="244027776"/>
        <c:axId val="250484224"/>
      </c:areaChart>
      <c:lineChart>
        <c:grouping val="standard"/>
        <c:varyColors val="0"/>
        <c:ser>
          <c:idx val="2"/>
          <c:order val="2"/>
          <c:tx>
            <c:strRef>
              <c:f>Лист1!$D$1</c:f>
              <c:strCache>
                <c:ptCount val="1"/>
                <c:pt idx="0">
                  <c:v>Доля населения с денежными доходами ниже величины прожиточного минимума в общей численности населения, процентов </c:v>
                </c:pt>
              </c:strCache>
            </c:strRef>
          </c:tx>
          <c:spPr>
            <a:ln>
              <a:solidFill>
                <a:srgbClr val="92D050"/>
              </a:solidFill>
            </a:ln>
          </c:spPr>
          <c:marker>
            <c:symbol val="square"/>
            <c:size val="5"/>
            <c:spPr>
              <a:solidFill>
                <a:srgbClr val="92D050"/>
              </a:solidFill>
            </c:spPr>
          </c:marker>
          <c:dLbls>
            <c:dLbl>
              <c:idx val="0"/>
              <c:layout>
                <c:manualLayout>
                  <c:x val="-1.6782407407407409E-2"/>
                  <c:y val="6.9252077562326875E-2"/>
                </c:manualLayout>
              </c:layout>
              <c:dLblPos val="r"/>
              <c:showLegendKey val="0"/>
              <c:showVal val="1"/>
              <c:showCatName val="0"/>
              <c:showSerName val="0"/>
              <c:showPercent val="0"/>
              <c:showBubbleSize val="0"/>
            </c:dLbl>
            <c:dLbl>
              <c:idx val="1"/>
              <c:layout>
                <c:manualLayout>
                  <c:x val="-4.751139139281798E-2"/>
                  <c:y val="6.0286314626184195E-2"/>
                </c:manualLayout>
              </c:layout>
              <c:dLblPos val="r"/>
              <c:showLegendKey val="0"/>
              <c:showVal val="1"/>
              <c:showCatName val="0"/>
              <c:showSerName val="0"/>
              <c:showPercent val="0"/>
              <c:showBubbleSize val="0"/>
            </c:dLbl>
            <c:dLbl>
              <c:idx val="3"/>
              <c:layout>
                <c:manualLayout>
                  <c:x val="-9.5486111111111105E-2"/>
                  <c:y val="4.7091412742382273E-2"/>
                </c:manualLayout>
              </c:layout>
              <c:dLblPos val="r"/>
              <c:showLegendKey val="0"/>
              <c:showVal val="1"/>
              <c:showCatName val="0"/>
              <c:showSerName val="0"/>
              <c:showPercent val="0"/>
              <c:showBubbleSize val="0"/>
            </c:dLbl>
            <c:numFmt formatCode="0.0%" sourceLinked="0"/>
            <c:spPr>
              <a:solidFill>
                <a:schemeClr val="accent3">
                  <a:lumMod val="60000"/>
                  <a:lumOff val="40000"/>
                </a:schemeClr>
              </a:solidFill>
              <a:ln w="28575">
                <a:solidFill>
                  <a:srgbClr val="00B050"/>
                </a:solidFill>
              </a:ln>
            </c:spPr>
            <c:txPr>
              <a:bodyPr/>
              <a:lstStyle/>
              <a:p>
                <a:pPr>
                  <a:defRPr sz="1100" b="1">
                    <a:solidFill>
                      <a:sysClr val="windowText" lastClr="000000"/>
                    </a:solidFill>
                  </a:defRPr>
                </a:pPr>
                <a:endParaRPr lang="ru-RU"/>
              </a:p>
            </c:txPr>
            <c:dLblPos val="b"/>
            <c:showLegendKey val="0"/>
            <c:showVal val="1"/>
            <c:showCatName val="0"/>
            <c:showSerName val="0"/>
            <c:showPercent val="0"/>
            <c:showBubbleSize val="0"/>
            <c:showLeaderLines val="0"/>
          </c:dLbls>
          <c:cat>
            <c:numRef>
              <c:f>Лист1!$A$2:$A$5</c:f>
              <c:numCache>
                <c:formatCode>General</c:formatCode>
                <c:ptCount val="4"/>
                <c:pt idx="0">
                  <c:v>2010</c:v>
                </c:pt>
                <c:pt idx="1">
                  <c:v>2011</c:v>
                </c:pt>
                <c:pt idx="2">
                  <c:v>2012</c:v>
                </c:pt>
                <c:pt idx="3">
                  <c:v>2013</c:v>
                </c:pt>
              </c:numCache>
            </c:numRef>
          </c:cat>
          <c:val>
            <c:numRef>
              <c:f>Лист1!$D$2:$D$5</c:f>
              <c:numCache>
                <c:formatCode>General</c:formatCode>
                <c:ptCount val="4"/>
                <c:pt idx="0">
                  <c:v>0.23699999999999999</c:v>
                </c:pt>
                <c:pt idx="1">
                  <c:v>0.20399999999999999</c:v>
                </c:pt>
                <c:pt idx="2">
                  <c:v>0.16</c:v>
                </c:pt>
                <c:pt idx="3">
                  <c:v>0.157</c:v>
                </c:pt>
              </c:numCache>
            </c:numRef>
          </c:val>
          <c:smooth val="0"/>
        </c:ser>
        <c:dLbls>
          <c:showLegendKey val="0"/>
          <c:showVal val="1"/>
          <c:showCatName val="0"/>
          <c:showSerName val="0"/>
          <c:showPercent val="0"/>
          <c:showBubbleSize val="0"/>
        </c:dLbls>
        <c:marker val="1"/>
        <c:smooth val="0"/>
        <c:axId val="250758656"/>
        <c:axId val="250486144"/>
      </c:lineChart>
      <c:catAx>
        <c:axId val="244027776"/>
        <c:scaling>
          <c:orientation val="minMax"/>
        </c:scaling>
        <c:delete val="0"/>
        <c:axPos val="b"/>
        <c:numFmt formatCode="General" sourceLinked="1"/>
        <c:majorTickMark val="out"/>
        <c:minorTickMark val="none"/>
        <c:tickLblPos val="nextTo"/>
        <c:txPr>
          <a:bodyPr/>
          <a:lstStyle/>
          <a:p>
            <a:pPr>
              <a:defRPr b="1"/>
            </a:pPr>
            <a:endParaRPr lang="ru-RU"/>
          </a:p>
        </c:txPr>
        <c:crossAx val="250484224"/>
        <c:crosses val="autoZero"/>
        <c:auto val="1"/>
        <c:lblAlgn val="ctr"/>
        <c:lblOffset val="100"/>
        <c:noMultiLvlLbl val="0"/>
      </c:catAx>
      <c:valAx>
        <c:axId val="250484224"/>
        <c:scaling>
          <c:orientation val="minMax"/>
        </c:scaling>
        <c:delete val="0"/>
        <c:axPos val="l"/>
        <c:majorGridlines>
          <c:spPr>
            <a:ln>
              <a:noFill/>
            </a:ln>
          </c:spPr>
        </c:majorGridlines>
        <c:numFmt formatCode="General" sourceLinked="1"/>
        <c:majorTickMark val="none"/>
        <c:minorTickMark val="none"/>
        <c:tickLblPos val="none"/>
        <c:spPr>
          <a:noFill/>
          <a:ln>
            <a:noFill/>
          </a:ln>
        </c:spPr>
        <c:crossAx val="244027776"/>
        <c:crosses val="autoZero"/>
        <c:crossBetween val="between"/>
      </c:valAx>
      <c:valAx>
        <c:axId val="250486144"/>
        <c:scaling>
          <c:orientation val="minMax"/>
          <c:max val="0.24000000000000002"/>
          <c:min val="0"/>
        </c:scaling>
        <c:delete val="0"/>
        <c:axPos val="r"/>
        <c:numFmt formatCode="0.0%" sourceLinked="0"/>
        <c:majorTickMark val="none"/>
        <c:minorTickMark val="none"/>
        <c:tickLblPos val="none"/>
        <c:spPr>
          <a:noFill/>
          <a:ln>
            <a:noFill/>
          </a:ln>
        </c:spPr>
        <c:crossAx val="250758656"/>
        <c:crosses val="max"/>
        <c:crossBetween val="between"/>
        <c:majorUnit val="8.0000000000000016E-2"/>
      </c:valAx>
      <c:catAx>
        <c:axId val="250758656"/>
        <c:scaling>
          <c:orientation val="minMax"/>
        </c:scaling>
        <c:delete val="1"/>
        <c:axPos val="b"/>
        <c:numFmt formatCode="General" sourceLinked="1"/>
        <c:majorTickMark val="out"/>
        <c:minorTickMark val="none"/>
        <c:tickLblPos val="nextTo"/>
        <c:crossAx val="250486144"/>
        <c:crosses val="autoZero"/>
        <c:auto val="1"/>
        <c:lblAlgn val="ctr"/>
        <c:lblOffset val="100"/>
        <c:noMultiLvlLbl val="0"/>
      </c:catAx>
    </c:plotArea>
    <c:legend>
      <c:legendPos val="b"/>
      <c:layout>
        <c:manualLayout>
          <c:xMode val="edge"/>
          <c:yMode val="edge"/>
          <c:x val="0"/>
          <c:y val="0.77999340246403626"/>
          <c:w val="0.99813666520851563"/>
          <c:h val="0.22000659753596374"/>
        </c:manualLayout>
      </c:layout>
      <c:overlay val="0"/>
    </c:legend>
    <c:plotVisOnly val="1"/>
    <c:dispBlanksAs val="gap"/>
    <c:showDLblsOverMax val="0"/>
  </c:chart>
  <c:spPr>
    <a:solidFill>
      <a:schemeClr val="bg1"/>
    </a:solidFill>
    <a:ln>
      <a:solidFill>
        <a:schemeClr val="bg1"/>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0637607214985974E-2"/>
          <c:y val="4.4057617797775464E-2"/>
          <c:w val="0.91307838856591528"/>
          <c:h val="0.85282089738782962"/>
        </c:manualLayout>
      </c:layout>
      <c:bar3DChart>
        <c:barDir val="col"/>
        <c:grouping val="clustered"/>
        <c:varyColors val="0"/>
        <c:ser>
          <c:idx val="0"/>
          <c:order val="0"/>
          <c:tx>
            <c:strRef>
              <c:f>Лист1!$B$1</c:f>
              <c:strCache>
                <c:ptCount val="1"/>
                <c:pt idx="0">
                  <c:v>план</c:v>
                </c:pt>
              </c:strCache>
            </c:strRef>
          </c:tx>
          <c:spPr>
            <a:gradFill flip="none" rotWithShape="1">
              <a:gsLst>
                <a:gs pos="0">
                  <a:srgbClr val="FF3399"/>
                </a:gs>
                <a:gs pos="25000">
                  <a:srgbClr val="FF6633"/>
                </a:gs>
                <a:gs pos="50000">
                  <a:srgbClr val="FFFF00"/>
                </a:gs>
                <a:gs pos="75000">
                  <a:srgbClr val="01A78F"/>
                </a:gs>
                <a:gs pos="100000">
                  <a:srgbClr val="3366FF"/>
                </a:gs>
              </a:gsLst>
              <a:lin ang="8400000" scaled="0"/>
              <a:tileRect/>
            </a:gradFill>
            <a:ln w="12700">
              <a:solidFill>
                <a:sysClr val="windowText" lastClr="000000"/>
              </a:solidFill>
            </a:ln>
            <a:effectLst>
              <a:innerShdw blurRad="63500" dist="50800">
                <a:prstClr val="black">
                  <a:alpha val="50000"/>
                </a:prstClr>
              </a:innerShdw>
            </a:effectLst>
          </c:spPr>
          <c:invertIfNegative val="0"/>
          <c:dLbls>
            <c:dLbl>
              <c:idx val="0"/>
              <c:layout>
                <c:manualLayout>
                  <c:x val="4.6049188906331764E-2"/>
                  <c:y val="2.7777777777777801E-2"/>
                </c:manualLayout>
              </c:layout>
              <c:showLegendKey val="0"/>
              <c:showVal val="1"/>
              <c:showCatName val="0"/>
              <c:showSerName val="0"/>
              <c:showPercent val="0"/>
              <c:showBubbleSize val="0"/>
            </c:dLbl>
            <c:dLbl>
              <c:idx val="1"/>
              <c:layout>
                <c:manualLayout>
                  <c:x val="6.4887493458922127E-2"/>
                  <c:y val="3.9682852143482099E-2"/>
                </c:manualLayout>
              </c:layout>
              <c:showLegendKey val="0"/>
              <c:showVal val="1"/>
              <c:showCatName val="0"/>
              <c:showSerName val="0"/>
              <c:showPercent val="0"/>
              <c:showBubbleSize val="0"/>
            </c:dLbl>
            <c:dLbl>
              <c:idx val="3"/>
              <c:layout>
                <c:manualLayout>
                  <c:x val="5.6514913657770803E-2"/>
                  <c:y val="3.9683477065366866E-2"/>
                </c:manualLayout>
              </c:layout>
              <c:showLegendKey val="0"/>
              <c:showVal val="1"/>
              <c:showCatName val="0"/>
              <c:showSerName val="0"/>
              <c:showPercent val="0"/>
              <c:showBubbleSize val="0"/>
            </c:dLbl>
            <c:dLbl>
              <c:idx val="4"/>
              <c:layout>
                <c:manualLayout>
                  <c:x val="2.0931449502878097E-3"/>
                  <c:y val="3.9698162729658835E-3"/>
                </c:manualLayout>
              </c:layout>
              <c:showLegendKey val="0"/>
              <c:showVal val="1"/>
              <c:showCatName val="0"/>
              <c:showSerName val="0"/>
              <c:showPercent val="0"/>
              <c:showBubbleSize val="0"/>
            </c:dLbl>
            <c:dLbl>
              <c:idx val="5"/>
              <c:layout>
                <c:manualLayout>
                  <c:x val="6.0701203558346496E-2"/>
                  <c:y val="4.365110611173602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2008</c:v>
                </c:pt>
                <c:pt idx="1">
                  <c:v>2009</c:v>
                </c:pt>
                <c:pt idx="2">
                  <c:v>2010</c:v>
                </c:pt>
                <c:pt idx="3">
                  <c:v>2011</c:v>
                </c:pt>
                <c:pt idx="4">
                  <c:v>2012</c:v>
                </c:pt>
                <c:pt idx="5">
                  <c:v>2013</c:v>
                </c:pt>
              </c:numCache>
            </c:numRef>
          </c:cat>
          <c:val>
            <c:numRef>
              <c:f>Лист1!$B$2:$B$7</c:f>
              <c:numCache>
                <c:formatCode>General</c:formatCode>
                <c:ptCount val="6"/>
                <c:pt idx="0">
                  <c:v>-2701</c:v>
                </c:pt>
                <c:pt idx="1">
                  <c:v>-3931</c:v>
                </c:pt>
                <c:pt idx="2">
                  <c:v>-5362</c:v>
                </c:pt>
                <c:pt idx="3">
                  <c:v>-9824</c:v>
                </c:pt>
                <c:pt idx="4">
                  <c:v>-9042</c:v>
                </c:pt>
                <c:pt idx="5">
                  <c:v>-12037.6</c:v>
                </c:pt>
              </c:numCache>
            </c:numRef>
          </c:val>
          <c:shape val="cylinder"/>
        </c:ser>
        <c:ser>
          <c:idx val="1"/>
          <c:order val="1"/>
          <c:tx>
            <c:strRef>
              <c:f>Лист1!$C$1</c:f>
              <c:strCache>
                <c:ptCount val="1"/>
                <c:pt idx="0">
                  <c:v>отчет</c:v>
                </c:pt>
              </c:strCache>
            </c:strRef>
          </c:tx>
          <c:spPr>
            <a:gradFill flip="none" rotWithShape="1">
              <a:gsLst>
                <a:gs pos="65000">
                  <a:srgbClr val="8488C4"/>
                </a:gs>
                <a:gs pos="75000">
                  <a:srgbClr val="D4DEFF"/>
                </a:gs>
                <a:gs pos="87000">
                  <a:srgbClr val="D4DEFF"/>
                </a:gs>
                <a:gs pos="100000">
                  <a:srgbClr val="96AB94"/>
                </a:gs>
              </a:gsLst>
              <a:lin ang="10800000" scaled="1"/>
              <a:tileRect/>
            </a:gradFill>
            <a:ln w="19050">
              <a:solidFill>
                <a:sysClr val="windowText" lastClr="000000"/>
              </a:solidFill>
            </a:ln>
            <a:effectLst>
              <a:innerShdw blurRad="63500" dist="50800" dir="16200000">
                <a:prstClr val="black">
                  <a:alpha val="50000"/>
                </a:prstClr>
              </a:innerShdw>
            </a:effectLst>
          </c:spPr>
          <c:invertIfNegative val="0"/>
          <c:dLbls>
            <c:dLbl>
              <c:idx val="0"/>
              <c:layout>
                <c:manualLayout>
                  <c:x val="3.4722222222222224E-2"/>
                  <c:y val="1.190538682664667E-2"/>
                </c:manualLayout>
              </c:layout>
              <c:showLegendKey val="0"/>
              <c:showVal val="1"/>
              <c:showCatName val="0"/>
              <c:showSerName val="0"/>
              <c:showPercent val="0"/>
              <c:showBubbleSize val="0"/>
            </c:dLbl>
            <c:dLbl>
              <c:idx val="1"/>
              <c:layout>
                <c:manualLayout>
                  <c:x val="4.1862899005756182E-2"/>
                  <c:y val="3.5714285714285754E-2"/>
                </c:manualLayout>
              </c:layout>
              <c:showLegendKey val="0"/>
              <c:showVal val="1"/>
              <c:showCatName val="0"/>
              <c:showSerName val="0"/>
              <c:showPercent val="0"/>
              <c:showBubbleSize val="0"/>
            </c:dLbl>
            <c:dLbl>
              <c:idx val="2"/>
              <c:layout>
                <c:manualLayout>
                  <c:x val="1.8838139738027272E-2"/>
                  <c:y val="1.1906636670416203E-2"/>
                </c:manualLayout>
              </c:layout>
              <c:showLegendKey val="0"/>
              <c:showVal val="1"/>
              <c:showCatName val="0"/>
              <c:showSerName val="0"/>
              <c:showPercent val="0"/>
              <c:showBubbleSize val="0"/>
            </c:dLbl>
            <c:dLbl>
              <c:idx val="3"/>
              <c:layout>
                <c:manualLayout>
                  <c:x val="2.0833333333333492E-2"/>
                  <c:y val="3.9682539682539802E-3"/>
                </c:manualLayout>
              </c:layout>
              <c:showLegendKey val="0"/>
              <c:showVal val="1"/>
              <c:showCatName val="0"/>
              <c:showSerName val="0"/>
              <c:showPercent val="0"/>
              <c:showBubbleSize val="0"/>
            </c:dLbl>
            <c:dLbl>
              <c:idx val="4"/>
              <c:layout>
                <c:manualLayout>
                  <c:x val="1.775547287358311E-2"/>
                  <c:y val="-3.9635670541182397E-3"/>
                </c:manualLayout>
              </c:layout>
              <c:showLegendKey val="0"/>
              <c:showVal val="1"/>
              <c:showCatName val="0"/>
              <c:showSerName val="0"/>
              <c:showPercent val="0"/>
              <c:showBubbleSize val="0"/>
            </c:dLbl>
            <c:dLbl>
              <c:idx val="5"/>
              <c:layout>
                <c:manualLayout>
                  <c:x val="5.8608058608058546E-2"/>
                  <c:y val="5.952443444569435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2008</c:v>
                </c:pt>
                <c:pt idx="1">
                  <c:v>2009</c:v>
                </c:pt>
                <c:pt idx="2">
                  <c:v>2010</c:v>
                </c:pt>
                <c:pt idx="3">
                  <c:v>2011</c:v>
                </c:pt>
                <c:pt idx="4">
                  <c:v>2012</c:v>
                </c:pt>
                <c:pt idx="5">
                  <c:v>2013</c:v>
                </c:pt>
              </c:numCache>
            </c:numRef>
          </c:cat>
          <c:val>
            <c:numRef>
              <c:f>Лист1!$C$2:$C$7</c:f>
              <c:numCache>
                <c:formatCode>General</c:formatCode>
                <c:ptCount val="6"/>
                <c:pt idx="0">
                  <c:v>1153</c:v>
                </c:pt>
                <c:pt idx="1">
                  <c:v>-978</c:v>
                </c:pt>
                <c:pt idx="2">
                  <c:v>-347</c:v>
                </c:pt>
                <c:pt idx="3">
                  <c:v>-3848</c:v>
                </c:pt>
                <c:pt idx="4">
                  <c:v>-6570</c:v>
                </c:pt>
                <c:pt idx="5">
                  <c:v>-2813.2</c:v>
                </c:pt>
              </c:numCache>
            </c:numRef>
          </c:val>
          <c:shape val="cylinder"/>
        </c:ser>
        <c:dLbls>
          <c:showLegendKey val="0"/>
          <c:showVal val="1"/>
          <c:showCatName val="0"/>
          <c:showSerName val="0"/>
          <c:showPercent val="0"/>
          <c:showBubbleSize val="0"/>
        </c:dLbls>
        <c:gapWidth val="150"/>
        <c:shape val="box"/>
        <c:axId val="193821312"/>
        <c:axId val="193888640"/>
        <c:axId val="0"/>
      </c:bar3DChart>
      <c:dateAx>
        <c:axId val="193821312"/>
        <c:scaling>
          <c:orientation val="minMax"/>
        </c:scaling>
        <c:delete val="0"/>
        <c:axPos val="b"/>
        <c:numFmt formatCode="General" sourceLinked="1"/>
        <c:majorTickMark val="out"/>
        <c:minorTickMark val="none"/>
        <c:tickLblPos val="low"/>
        <c:txPr>
          <a:bodyPr/>
          <a:lstStyle/>
          <a:p>
            <a:pPr>
              <a:defRPr sz="1050" b="1">
                <a:latin typeface="Times New Roman" pitchFamily="18" charset="0"/>
                <a:cs typeface="Times New Roman" pitchFamily="18" charset="0"/>
              </a:defRPr>
            </a:pPr>
            <a:endParaRPr lang="ru-RU"/>
          </a:p>
        </c:txPr>
        <c:crossAx val="193888640"/>
        <c:crosses val="autoZero"/>
        <c:auto val="0"/>
        <c:lblOffset val="100"/>
        <c:baseTimeUnit val="days"/>
      </c:dateAx>
      <c:valAx>
        <c:axId val="193888640"/>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93821312"/>
        <c:crosses val="autoZero"/>
        <c:crossBetween val="between"/>
      </c:valAx>
      <c:spPr>
        <a:solidFill>
          <a:schemeClr val="accent3">
            <a:lumMod val="20000"/>
            <a:lumOff val="80000"/>
          </a:schemeClr>
        </a:solidFill>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90"/>
      <c:rAngAx val="0"/>
      <c:perspective val="0"/>
    </c:view3D>
    <c:floor>
      <c:thickness val="0"/>
    </c:floor>
    <c:sideWall>
      <c:thickness val="0"/>
    </c:sideWall>
    <c:backWall>
      <c:thickness val="0"/>
    </c:backWall>
    <c:plotArea>
      <c:layout>
        <c:manualLayout>
          <c:layoutTarget val="inner"/>
          <c:xMode val="edge"/>
          <c:yMode val="edge"/>
          <c:x val="0.19906047629213824"/>
          <c:y val="0.35641898432420793"/>
          <c:w val="0.69572107765452817"/>
          <c:h val="0.41826923076923078"/>
        </c:manualLayout>
      </c:layout>
      <c:pie3DChart>
        <c:varyColors val="1"/>
        <c:ser>
          <c:idx val="0"/>
          <c:order val="0"/>
          <c:tx>
            <c:strRef>
              <c:f>Sheet1!$A$2</c:f>
              <c:strCache>
                <c:ptCount val="1"/>
              </c:strCache>
            </c:strRef>
          </c:tx>
          <c:spPr>
            <a:solidFill>
              <a:srgbClr val="9999FF"/>
            </a:solidFill>
            <a:ln w="15875">
              <a:solidFill>
                <a:srgbClr val="000000"/>
              </a:solidFill>
              <a:prstDash val="solid"/>
            </a:ln>
          </c:spPr>
          <c:explosion val="26"/>
          <c:dPt>
            <c:idx val="0"/>
            <c:bubble3D val="0"/>
            <c:spPr>
              <a:solidFill>
                <a:srgbClr val="00B0F0"/>
              </a:solidFill>
              <a:ln w="15875">
                <a:solidFill>
                  <a:srgbClr val="000000"/>
                </a:solidFill>
                <a:prstDash val="solid"/>
              </a:ln>
            </c:spPr>
          </c:dPt>
          <c:dPt>
            <c:idx val="1"/>
            <c:bubble3D val="0"/>
            <c:spPr>
              <a:solidFill>
                <a:srgbClr val="CC99FF"/>
              </a:solidFill>
              <a:ln w="15875">
                <a:solidFill>
                  <a:srgbClr val="000000"/>
                </a:solidFill>
                <a:prstDash val="solid"/>
              </a:ln>
            </c:spPr>
          </c:dPt>
          <c:dPt>
            <c:idx val="2"/>
            <c:bubble3D val="0"/>
            <c:spPr>
              <a:solidFill>
                <a:srgbClr val="FFCC99"/>
              </a:solidFill>
              <a:ln w="15875">
                <a:solidFill>
                  <a:srgbClr val="000000"/>
                </a:solidFill>
                <a:prstDash val="solid"/>
              </a:ln>
            </c:spPr>
          </c:dPt>
          <c:dPt>
            <c:idx val="3"/>
            <c:bubble3D val="0"/>
            <c:spPr>
              <a:solidFill>
                <a:srgbClr val="FFFF00"/>
              </a:solidFill>
              <a:ln w="15875">
                <a:solidFill>
                  <a:srgbClr val="000000"/>
                </a:solidFill>
                <a:prstDash val="solid"/>
              </a:ln>
            </c:spPr>
          </c:dPt>
          <c:dPt>
            <c:idx val="4"/>
            <c:bubble3D val="0"/>
            <c:spPr>
              <a:solidFill>
                <a:srgbClr val="660066"/>
              </a:solidFill>
              <a:ln w="15875">
                <a:solidFill>
                  <a:srgbClr val="000000"/>
                </a:solidFill>
                <a:prstDash val="solid"/>
              </a:ln>
            </c:spPr>
          </c:dPt>
          <c:dPt>
            <c:idx val="5"/>
            <c:bubble3D val="0"/>
            <c:spPr>
              <a:solidFill>
                <a:srgbClr val="FF8080"/>
              </a:solidFill>
              <a:ln w="15875">
                <a:solidFill>
                  <a:srgbClr val="000000"/>
                </a:solidFill>
                <a:prstDash val="solid"/>
              </a:ln>
            </c:spPr>
          </c:dPt>
          <c:dPt>
            <c:idx val="6"/>
            <c:bubble3D val="0"/>
            <c:spPr>
              <a:solidFill>
                <a:srgbClr val="0066CC"/>
              </a:solidFill>
              <a:ln w="15875">
                <a:solidFill>
                  <a:srgbClr val="000000"/>
                </a:solidFill>
                <a:prstDash val="solid"/>
              </a:ln>
            </c:spPr>
          </c:dPt>
          <c:dPt>
            <c:idx val="7"/>
            <c:bubble3D val="0"/>
            <c:spPr>
              <a:solidFill>
                <a:srgbClr val="F79646">
                  <a:lumMod val="50000"/>
                </a:srgbClr>
              </a:solidFill>
              <a:ln w="15875">
                <a:solidFill>
                  <a:srgbClr val="000000"/>
                </a:solidFill>
                <a:prstDash val="solid"/>
              </a:ln>
            </c:spPr>
          </c:dPt>
          <c:dPt>
            <c:idx val="8"/>
            <c:bubble3D val="0"/>
            <c:spPr>
              <a:solidFill>
                <a:srgbClr val="000080"/>
              </a:solidFill>
              <a:ln w="15875">
                <a:solidFill>
                  <a:srgbClr val="000000"/>
                </a:solidFill>
                <a:prstDash val="solid"/>
              </a:ln>
            </c:spPr>
          </c:dPt>
          <c:dLbls>
            <c:dLbl>
              <c:idx val="0"/>
              <c:layout>
                <c:manualLayout>
                  <c:x val="0.26606236421404261"/>
                  <c:y val="0.12389637245757504"/>
                </c:manualLayout>
              </c:layout>
              <c:dLblPos val="bestFit"/>
              <c:showLegendKey val="1"/>
              <c:showVal val="1"/>
              <c:showCatName val="1"/>
              <c:showSerName val="0"/>
              <c:showPercent val="0"/>
              <c:showBubbleSize val="0"/>
            </c:dLbl>
            <c:dLbl>
              <c:idx val="1"/>
              <c:layout>
                <c:manualLayout>
                  <c:x val="0.14734765809776174"/>
                  <c:y val="0.26131146829786772"/>
                </c:manualLayout>
              </c:layout>
              <c:tx>
                <c:rich>
                  <a:bodyPr/>
                  <a:lstStyle/>
                  <a:p>
                    <a:r>
                      <a:rPr lang="ru-RU"/>
                      <a:t>Налог на доходы физических лиц; 12,7</a:t>
                    </a:r>
                  </a:p>
                </c:rich>
              </c:tx>
              <c:dLblPos val="bestFit"/>
              <c:showLegendKey val="1"/>
              <c:showVal val="1"/>
              <c:showCatName val="0"/>
              <c:showSerName val="0"/>
              <c:showPercent val="0"/>
              <c:showBubbleSize val="0"/>
            </c:dLbl>
            <c:dLbl>
              <c:idx val="2"/>
              <c:layout>
                <c:manualLayout>
                  <c:x val="-0.12289006936333915"/>
                  <c:y val="0.31983340925359538"/>
                </c:manualLayout>
              </c:layout>
              <c:tx>
                <c:rich>
                  <a:bodyPr/>
                  <a:lstStyle/>
                  <a:p>
                    <a:r>
                      <a:rPr lang="ru-RU"/>
                      <a:t>Акцизы; 3,1</a:t>
                    </a:r>
                  </a:p>
                </c:rich>
              </c:tx>
              <c:dLblPos val="bestFit"/>
              <c:showLegendKey val="1"/>
              <c:showVal val="1"/>
              <c:showCatName val="0"/>
              <c:showSerName val="0"/>
              <c:showPercent val="0"/>
              <c:showBubbleSize val="0"/>
            </c:dLbl>
            <c:dLbl>
              <c:idx val="3"/>
              <c:layout>
                <c:manualLayout>
                  <c:x val="-8.4359048420382859E-2"/>
                  <c:y val="8.1569597188781082E-2"/>
                </c:manualLayout>
              </c:layout>
              <c:dLblPos val="bestFit"/>
              <c:showLegendKey val="1"/>
              <c:showVal val="1"/>
              <c:showCatName val="1"/>
              <c:showSerName val="0"/>
              <c:showPercent val="0"/>
              <c:showBubbleSize val="0"/>
            </c:dLbl>
            <c:dLbl>
              <c:idx val="4"/>
              <c:layout>
                <c:manualLayout>
                  <c:x val="0"/>
                  <c:y val="-9.0379818225201192E-2"/>
                </c:manualLayout>
              </c:layout>
              <c:dLblPos val="bestFit"/>
              <c:showLegendKey val="1"/>
              <c:showVal val="1"/>
              <c:showCatName val="1"/>
              <c:showSerName val="0"/>
              <c:showPercent val="0"/>
              <c:showBubbleSize val="0"/>
            </c:dLbl>
            <c:dLbl>
              <c:idx val="5"/>
              <c:layout>
                <c:manualLayout>
                  <c:x val="-9.3674174449124098E-2"/>
                  <c:y val="-0.21275590551181231"/>
                </c:manualLayout>
              </c:layout>
              <c:dLblPos val="bestFit"/>
              <c:showLegendKey val="1"/>
              <c:showVal val="1"/>
              <c:showCatName val="1"/>
              <c:showSerName val="0"/>
              <c:showPercent val="0"/>
              <c:showBubbleSize val="0"/>
            </c:dLbl>
            <c:dLbl>
              <c:idx val="6"/>
              <c:layout>
                <c:manualLayout>
                  <c:x val="9.1952094504933343E-2"/>
                  <c:y val="-0.27774581896271233"/>
                </c:manualLayout>
              </c:layout>
              <c:dLblPos val="bestFit"/>
              <c:showLegendKey val="1"/>
              <c:showVal val="1"/>
              <c:showCatName val="1"/>
              <c:showSerName val="0"/>
              <c:showPercent val="0"/>
              <c:showBubbleSize val="0"/>
            </c:dLbl>
            <c:dLbl>
              <c:idx val="7"/>
              <c:layout>
                <c:manualLayout>
                  <c:x val="0.16040571483588476"/>
                  <c:y val="-0.11529120843365653"/>
                </c:manualLayout>
              </c:layout>
              <c:tx>
                <c:rich>
                  <a:bodyPr/>
                  <a:lstStyle/>
                  <a:p>
                    <a:r>
                      <a:rPr lang="ru-RU"/>
                      <a:t>Неналоговые доходы; 0,9</a:t>
                    </a:r>
                  </a:p>
                </c:rich>
              </c:tx>
              <c:dLblPos val="bestFit"/>
              <c:showLegendKey val="1"/>
              <c:showVal val="1"/>
              <c:showCatName val="1"/>
              <c:showSerName val="0"/>
              <c:showPercent val="0"/>
              <c:showBubbleSize val="0"/>
            </c:dLbl>
            <c:dLbl>
              <c:idx val="8"/>
              <c:delete val="1"/>
            </c:dLbl>
            <c:dLbl>
              <c:idx val="9"/>
              <c:layout>
                <c:manualLayout>
                  <c:x val="-5.9030420240532233E-2"/>
                  <c:y val="-0.16390360295872106"/>
                </c:manualLayout>
              </c:layout>
              <c:tx>
                <c:rich>
                  <a:bodyPr/>
                  <a:lstStyle/>
                  <a:p>
                    <a:r>
                      <a:rPr lang="ru-RU"/>
                      <a:t>Безвозмездные поступления; 60,3</a:t>
                    </a:r>
                  </a:p>
                </c:rich>
              </c:tx>
              <c:dLblPos val="bestFit"/>
              <c:showLegendKey val="1"/>
              <c:showVal val="1"/>
              <c:showCatName val="0"/>
              <c:showSerName val="0"/>
              <c:showPercent val="0"/>
              <c:showBubbleSize val="0"/>
            </c:dLbl>
            <c:dLbl>
              <c:idx val="12"/>
              <c:spPr>
                <a:noFill/>
                <a:ln w="25341">
                  <a:noFill/>
                </a:ln>
              </c:spPr>
              <c:txPr>
                <a:bodyPr/>
                <a:lstStyle/>
                <a:p>
                  <a:pPr>
                    <a:defRPr sz="1821" b="1" i="0" u="none" strike="noStrike" baseline="0">
                      <a:solidFill>
                        <a:srgbClr val="000000"/>
                      </a:solidFill>
                      <a:latin typeface="Arial Cyr"/>
                      <a:ea typeface="Arial Cyr"/>
                      <a:cs typeface="Arial Cyr"/>
                    </a:defRPr>
                  </a:pPr>
                  <a:endParaRPr lang="ru-RU"/>
                </a:p>
              </c:txPr>
              <c:showLegendKey val="1"/>
              <c:showVal val="1"/>
              <c:showCatName val="1"/>
              <c:showSerName val="0"/>
              <c:showPercent val="0"/>
              <c:showBubbleSize val="0"/>
            </c:dLbl>
            <c:spPr>
              <a:solidFill>
                <a:srgbClr val="FFFFFF"/>
              </a:solidFill>
              <a:ln w="3168">
                <a:solidFill>
                  <a:srgbClr val="000000"/>
                </a:solidFill>
                <a:prstDash val="solid"/>
              </a:ln>
              <a:effectLst>
                <a:outerShdw dist="35921" dir="2700000" algn="br">
                  <a:srgbClr val="000000"/>
                </a:outerShdw>
              </a:effectLst>
            </c:spPr>
            <c:txPr>
              <a:bodyPr/>
              <a:lstStyle/>
              <a:p>
                <a:pPr>
                  <a:defRPr sz="898"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0"/>
            <c:showBubbleSize val="0"/>
            <c:showLeaderLines val="1"/>
          </c:dLbls>
          <c:cat>
            <c:strRef>
              <c:f>Sheet1!$B$1:$K$1</c:f>
              <c:strCache>
                <c:ptCount val="10"/>
                <c:pt idx="0">
                  <c:v>Налог на прибыль организаций</c:v>
                </c:pt>
                <c:pt idx="1">
                  <c:v>Налог на доходы физических лиц</c:v>
                </c:pt>
                <c:pt idx="2">
                  <c:v>Акцизы</c:v>
                </c:pt>
                <c:pt idx="3">
                  <c:v>Налоги на совокупный доход</c:v>
                </c:pt>
                <c:pt idx="4">
                  <c:v>Налог на имущество организаций</c:v>
                </c:pt>
                <c:pt idx="5">
                  <c:v>Транспортный налог</c:v>
                </c:pt>
                <c:pt idx="6">
                  <c:v>Налог на добычу полезных ископаемых</c:v>
                </c:pt>
                <c:pt idx="7">
                  <c:v>Государственная пошлина </c:v>
                </c:pt>
                <c:pt idx="8">
                  <c:v>Неналоговые доходы</c:v>
                </c:pt>
                <c:pt idx="9">
                  <c:v>Безвозмездные поступления </c:v>
                </c:pt>
              </c:strCache>
            </c:strRef>
          </c:cat>
          <c:val>
            <c:numRef>
              <c:f>Sheet1!$B$2:$K$2</c:f>
              <c:numCache>
                <c:formatCode>General</c:formatCode>
                <c:ptCount val="10"/>
                <c:pt idx="0">
                  <c:v>12.1</c:v>
                </c:pt>
                <c:pt idx="1">
                  <c:v>12.7</c:v>
                </c:pt>
                <c:pt idx="2">
                  <c:v>3.1</c:v>
                </c:pt>
                <c:pt idx="3">
                  <c:v>1.9000000000000001</c:v>
                </c:pt>
                <c:pt idx="4" formatCode="0.0">
                  <c:v>5.4</c:v>
                </c:pt>
                <c:pt idx="5" formatCode="0.0">
                  <c:v>1</c:v>
                </c:pt>
                <c:pt idx="6">
                  <c:v>2.5</c:v>
                </c:pt>
                <c:pt idx="7">
                  <c:v>0.1</c:v>
                </c:pt>
                <c:pt idx="8">
                  <c:v>0.9</c:v>
                </c:pt>
                <c:pt idx="9">
                  <c:v>60.3</c:v>
                </c:pt>
              </c:numCache>
            </c:numRef>
          </c:val>
        </c:ser>
        <c:dLbls>
          <c:showLegendKey val="0"/>
          <c:showVal val="1"/>
          <c:showCatName val="1"/>
          <c:showSerName val="0"/>
          <c:showPercent val="0"/>
          <c:showBubbleSize val="0"/>
          <c:showLeaderLines val="1"/>
        </c:dLbls>
      </c:pie3DChart>
      <c:spPr>
        <a:gradFill rotWithShape="0">
          <a:gsLst>
            <a:gs pos="0">
              <a:srgbClr val="800000"/>
            </a:gs>
            <a:gs pos="100000">
              <a:srgbClr val="800000">
                <a:gamma/>
                <a:tint val="0"/>
                <a:invGamma/>
              </a:srgbClr>
            </a:gs>
          </a:gsLst>
          <a:path path="rect">
            <a:fillToRect l="50000" t="50000" r="50000" b="50000"/>
          </a:path>
        </a:gradFill>
        <a:ln w="12670">
          <a:noFill/>
          <a:prstDash val="solid"/>
        </a:ln>
      </c:spPr>
    </c:plotArea>
    <c:plotVisOnly val="1"/>
    <c:dispBlanksAs val="zero"/>
    <c:showDLblsOverMax val="0"/>
  </c:chart>
  <c:spPr>
    <a:noFill/>
    <a:ln w="25341">
      <a:noFill/>
      <a:prstDash val="solid"/>
    </a:ln>
    <a:effectLst/>
  </c:spPr>
  <c:txPr>
    <a:bodyPr/>
    <a:lstStyle/>
    <a:p>
      <a:pPr>
        <a:defRPr sz="18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solidFill>
          <a:schemeClr val="accent6">
            <a:lumMod val="20000"/>
            <a:lumOff val="80000"/>
          </a:schemeClr>
        </a:solidFill>
      </c:spPr>
    </c:floor>
    <c:sideWall>
      <c:thickness val="0"/>
      <c:spPr>
        <a:gradFill flip="none" rotWithShape="1">
          <a:gsLst>
            <a:gs pos="0">
              <a:schemeClr val="accent1">
                <a:lumMod val="20000"/>
                <a:lumOff val="80000"/>
              </a:schemeClr>
            </a:gs>
            <a:gs pos="50000">
              <a:srgbClr val="FFFF00">
                <a:tint val="44500"/>
                <a:satMod val="160000"/>
              </a:srgbClr>
            </a:gs>
            <a:gs pos="100000">
              <a:srgbClr val="FFFF00">
                <a:tint val="23500"/>
                <a:satMod val="160000"/>
              </a:srgbClr>
            </a:gs>
          </a:gsLst>
          <a:lin ang="10800000" scaled="1"/>
          <a:tileRect/>
        </a:gradFill>
      </c:spPr>
    </c:sideWall>
    <c:backWall>
      <c:thickness val="0"/>
      <c:spPr>
        <a:gradFill flip="none" rotWithShape="1">
          <a:gsLst>
            <a:gs pos="0">
              <a:schemeClr val="accent1">
                <a:lumMod val="20000"/>
                <a:lumOff val="80000"/>
              </a:schemeClr>
            </a:gs>
            <a:gs pos="57000">
              <a:srgbClr val="FFFF00">
                <a:tint val="44500"/>
                <a:satMod val="160000"/>
              </a:srgbClr>
            </a:gs>
            <a:gs pos="100000">
              <a:srgbClr val="FFFF00">
                <a:tint val="23500"/>
                <a:satMod val="160000"/>
              </a:srgbClr>
            </a:gs>
          </a:gsLst>
          <a:lin ang="10800000" scaled="1"/>
          <a:tileRect/>
        </a:gradFill>
      </c:spPr>
    </c:backWall>
    <c:plotArea>
      <c:layout>
        <c:manualLayout>
          <c:layoutTarget val="inner"/>
          <c:xMode val="edge"/>
          <c:yMode val="edge"/>
          <c:x val="8.2753623188405803E-2"/>
          <c:y val="1.6208551620290512E-2"/>
          <c:w val="0.91724640283156789"/>
          <c:h val="0.73808862127528174"/>
        </c:manualLayout>
      </c:layout>
      <c:bar3DChart>
        <c:barDir val="col"/>
        <c:grouping val="clustered"/>
        <c:varyColors val="0"/>
        <c:ser>
          <c:idx val="0"/>
          <c:order val="0"/>
          <c:tx>
            <c:strRef>
              <c:f>Лист1!$B$1</c:f>
              <c:strCache>
                <c:ptCount val="1"/>
                <c:pt idx="0">
                  <c:v>2009 год</c:v>
                </c:pt>
              </c:strCache>
            </c:strRef>
          </c:tx>
          <c:spPr>
            <a:solidFill>
              <a:schemeClr val="tx2"/>
            </a:solidFill>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Лист1!$B$2:$B$7</c:f>
              <c:numCache>
                <c:formatCode>General</c:formatCode>
                <c:ptCount val="6"/>
                <c:pt idx="0">
                  <c:v>6393.4</c:v>
                </c:pt>
                <c:pt idx="1">
                  <c:v>5708.3</c:v>
                </c:pt>
                <c:pt idx="2">
                  <c:v>2029.3</c:v>
                </c:pt>
                <c:pt idx="3">
                  <c:v>1360.8</c:v>
                </c:pt>
                <c:pt idx="4">
                  <c:v>821.5</c:v>
                </c:pt>
                <c:pt idx="5">
                  <c:v>610.79999999999995</c:v>
                </c:pt>
              </c:numCache>
            </c:numRef>
          </c:val>
        </c:ser>
        <c:ser>
          <c:idx val="1"/>
          <c:order val="1"/>
          <c:tx>
            <c:strRef>
              <c:f>Лист1!$C$1</c:f>
              <c:strCache>
                <c:ptCount val="1"/>
                <c:pt idx="0">
                  <c:v>2010 год</c:v>
                </c:pt>
              </c:strCache>
            </c:strRef>
          </c:tx>
          <c:spPr>
            <a:solidFill>
              <a:srgbClr val="00B050"/>
            </a:solidFill>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Лист1!$C$2:$C$7</c:f>
              <c:numCache>
                <c:formatCode>General</c:formatCode>
                <c:ptCount val="6"/>
                <c:pt idx="0">
                  <c:v>8012.2</c:v>
                </c:pt>
                <c:pt idx="1">
                  <c:v>6303.9</c:v>
                </c:pt>
                <c:pt idx="2">
                  <c:v>2264.9</c:v>
                </c:pt>
                <c:pt idx="3">
                  <c:v>1678.4</c:v>
                </c:pt>
                <c:pt idx="4">
                  <c:v>926.8</c:v>
                </c:pt>
                <c:pt idx="5">
                  <c:v>833.2</c:v>
                </c:pt>
              </c:numCache>
            </c:numRef>
          </c:val>
        </c:ser>
        <c:ser>
          <c:idx val="2"/>
          <c:order val="2"/>
          <c:tx>
            <c:strRef>
              <c:f>Лист1!$D$1</c:f>
              <c:strCache>
                <c:ptCount val="1"/>
                <c:pt idx="0">
                  <c:v>2011 год</c:v>
                </c:pt>
              </c:strCache>
            </c:strRef>
          </c:tx>
          <c:spPr>
            <a:solidFill>
              <a:srgbClr val="FFC000"/>
            </a:solidFill>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Лист1!$D$2:$D$7</c:f>
              <c:numCache>
                <c:formatCode>General</c:formatCode>
                <c:ptCount val="6"/>
                <c:pt idx="0">
                  <c:v>8517.9</c:v>
                </c:pt>
                <c:pt idx="1">
                  <c:v>7117</c:v>
                </c:pt>
                <c:pt idx="2">
                  <c:v>2246.8000000000002</c:v>
                </c:pt>
                <c:pt idx="3">
                  <c:v>1951.7</c:v>
                </c:pt>
                <c:pt idx="4">
                  <c:v>1572.4</c:v>
                </c:pt>
                <c:pt idx="5">
                  <c:v>1000.7</c:v>
                </c:pt>
              </c:numCache>
            </c:numRef>
          </c:val>
        </c:ser>
        <c:ser>
          <c:idx val="3"/>
          <c:order val="3"/>
          <c:tx>
            <c:strRef>
              <c:f>Лист1!$E$1</c:f>
              <c:strCache>
                <c:ptCount val="1"/>
                <c:pt idx="0">
                  <c:v>2012 год</c:v>
                </c:pt>
              </c:strCache>
            </c:strRef>
          </c:tx>
          <c:spPr>
            <a:solidFill>
              <a:srgbClr val="C00000"/>
            </a:solidFill>
          </c:spPr>
          <c:invertIfNegative val="0"/>
          <c:dLbls>
            <c:dLbl>
              <c:idx val="0"/>
              <c:layout>
                <c:manualLayout>
                  <c:x val="-2.8322440087145972E-2"/>
                  <c:y val="1.2121212121212118E-2"/>
                </c:manualLayout>
              </c:layout>
              <c:showLegendKey val="0"/>
              <c:showVal val="1"/>
              <c:showCatName val="0"/>
              <c:showSerName val="0"/>
              <c:showPercent val="0"/>
              <c:showBubbleSize val="0"/>
            </c:dLbl>
            <c:dLbl>
              <c:idx val="1"/>
              <c:layout>
                <c:manualLayout>
                  <c:x val="-4.3573327843823464E-2"/>
                  <c:y val="3.0303030303030311E-2"/>
                </c:manualLayout>
              </c:layout>
              <c:showLegendKey val="0"/>
              <c:showVal val="1"/>
              <c:showCatName val="0"/>
              <c:showSerName val="0"/>
              <c:showPercent val="0"/>
              <c:showBubbleSize val="0"/>
            </c:dLbl>
            <c:dLbl>
              <c:idx val="2"/>
              <c:layout>
                <c:manualLayout>
                  <c:x val="-2.8268624576787867E-2"/>
                  <c:y val="4.1092148549304685E-5"/>
                </c:manualLayout>
              </c:layout>
              <c:showLegendKey val="0"/>
              <c:showVal val="1"/>
              <c:showCatName val="0"/>
              <c:showSerName val="0"/>
              <c:showPercent val="0"/>
              <c:showBubbleSize val="0"/>
            </c:dLbl>
            <c:dLbl>
              <c:idx val="3"/>
              <c:layout>
                <c:manualLayout>
                  <c:x val="-2.3965141612200435E-2"/>
                  <c:y val="9.0909090909091061E-3"/>
                </c:manualLayout>
              </c:layout>
              <c:showLegendKey val="0"/>
              <c:showVal val="1"/>
              <c:showCatName val="0"/>
              <c:showSerName val="0"/>
              <c:showPercent val="0"/>
              <c:showBubbleSize val="0"/>
            </c:dLbl>
            <c:dLbl>
              <c:idx val="4"/>
              <c:layout>
                <c:manualLayout>
                  <c:x val="-2.1714641518245151E-2"/>
                  <c:y val="-2.989513188679474E-3"/>
                </c:manualLayout>
              </c:layout>
              <c:showLegendKey val="0"/>
              <c:showVal val="1"/>
              <c:showCatName val="0"/>
              <c:showSerName val="0"/>
              <c:showPercent val="0"/>
              <c:showBubbleSize val="0"/>
            </c:dLbl>
            <c:dLbl>
              <c:idx val="5"/>
              <c:layout>
                <c:manualLayout>
                  <c:x val="-3.0791768821319121E-2"/>
                  <c:y val="1.212123371456396E-2"/>
                </c:manualLayout>
              </c:layout>
              <c:showLegendKey val="0"/>
              <c:showVal val="1"/>
              <c:showCatName val="0"/>
              <c:showSerName val="0"/>
              <c:showPercent val="0"/>
              <c:showBubbleSize val="0"/>
            </c:dLbl>
            <c:spPr>
              <a:noFill/>
            </c:spPr>
            <c:txPr>
              <a:bodyPr/>
              <a:lstStyle/>
              <a:p>
                <a:pPr>
                  <a:defRPr sz="1050" b="1"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Лист1!$E$2:$E$7</c:f>
              <c:numCache>
                <c:formatCode>General</c:formatCode>
                <c:ptCount val="6"/>
                <c:pt idx="0">
                  <c:v>9432.7000000000007</c:v>
                </c:pt>
                <c:pt idx="1">
                  <c:v>7875.3</c:v>
                </c:pt>
                <c:pt idx="2">
                  <c:v>2813.1</c:v>
                </c:pt>
                <c:pt idx="3">
                  <c:v>2048</c:v>
                </c:pt>
                <c:pt idx="4">
                  <c:v>1833.5</c:v>
                </c:pt>
                <c:pt idx="5">
                  <c:v>1268.8</c:v>
                </c:pt>
              </c:numCache>
            </c:numRef>
          </c:val>
        </c:ser>
        <c:ser>
          <c:idx val="4"/>
          <c:order val="4"/>
          <c:tx>
            <c:strRef>
              <c:f>Лист1!$F$1</c:f>
              <c:strCache>
                <c:ptCount val="1"/>
                <c:pt idx="0">
                  <c:v>2013 год</c:v>
                </c:pt>
              </c:strCache>
            </c:strRef>
          </c:tx>
          <c:invertIfNegative val="0"/>
          <c:dLbls>
            <c:dLbl>
              <c:idx val="0"/>
              <c:layout>
                <c:manualLayout>
                  <c:x val="4.3572984749455389E-2"/>
                  <c:y val="-9.0909090909091061E-3"/>
                </c:manualLayout>
              </c:layout>
              <c:showLegendKey val="0"/>
              <c:showVal val="1"/>
              <c:showCatName val="0"/>
              <c:showSerName val="0"/>
              <c:showPercent val="0"/>
              <c:showBubbleSize val="0"/>
            </c:dLbl>
            <c:dLbl>
              <c:idx val="1"/>
              <c:layout>
                <c:manualLayout>
                  <c:x val="5.6644880174291881E-2"/>
                  <c:y val="9.0909090909091061E-3"/>
                </c:manualLayout>
              </c:layout>
              <c:showLegendKey val="0"/>
              <c:showVal val="1"/>
              <c:showCatName val="0"/>
              <c:showSerName val="0"/>
              <c:showPercent val="0"/>
              <c:showBubbleSize val="0"/>
            </c:dLbl>
            <c:dLbl>
              <c:idx val="2"/>
              <c:layout>
                <c:manualLayout>
                  <c:x val="5.6644880174291881E-2"/>
                  <c:y val="1.8181818181818198E-2"/>
                </c:manualLayout>
              </c:layout>
              <c:showLegendKey val="0"/>
              <c:showVal val="1"/>
              <c:showCatName val="0"/>
              <c:showSerName val="0"/>
              <c:showPercent val="0"/>
              <c:showBubbleSize val="0"/>
            </c:dLbl>
            <c:dLbl>
              <c:idx val="3"/>
              <c:layout>
                <c:manualLayout>
                  <c:x val="1.9607843137254902E-2"/>
                  <c:y val="-9.0909090909091061E-3"/>
                </c:manualLayout>
              </c:layout>
              <c:showLegendKey val="0"/>
              <c:showVal val="1"/>
              <c:showCatName val="0"/>
              <c:showSerName val="0"/>
              <c:showPercent val="0"/>
              <c:showBubbleSize val="0"/>
            </c:dLbl>
            <c:dLbl>
              <c:idx val="4"/>
              <c:layout>
                <c:manualLayout>
                  <c:x val="3.2625839397752383E-2"/>
                  <c:y val="-9.0635503141293077E-3"/>
                </c:manualLayout>
              </c:layout>
              <c:showLegendKey val="0"/>
              <c:showVal val="1"/>
              <c:showCatName val="0"/>
              <c:showSerName val="0"/>
              <c:showPercent val="0"/>
              <c:showBubbleSize val="0"/>
            </c:dLbl>
            <c:dLbl>
              <c:idx val="5"/>
              <c:layout>
                <c:manualLayout>
                  <c:x val="2.2149829310551868E-2"/>
                  <c:y val="-4.7721307558271871E-7"/>
                </c:manualLayout>
              </c:layout>
              <c:showLegendKey val="0"/>
              <c:showVal val="1"/>
              <c:showCatName val="0"/>
              <c:showSerName val="0"/>
              <c:showPercent val="0"/>
              <c:showBubbleSize val="0"/>
            </c:dLbl>
            <c:spPr>
              <a:noFill/>
            </c:spPr>
            <c:txPr>
              <a:bodyPr/>
              <a:lstStyle/>
              <a:p>
                <a:pPr>
                  <a:defRPr sz="1050" b="1" i="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Лист1!$F$2:$F$7</c:f>
              <c:numCache>
                <c:formatCode>General</c:formatCode>
                <c:ptCount val="6"/>
                <c:pt idx="0">
                  <c:v>8067.7</c:v>
                </c:pt>
                <c:pt idx="1">
                  <c:v>8482.1</c:v>
                </c:pt>
                <c:pt idx="2">
                  <c:v>3611.3</c:v>
                </c:pt>
                <c:pt idx="3">
                  <c:v>2084.9</c:v>
                </c:pt>
                <c:pt idx="4">
                  <c:v>1692.6</c:v>
                </c:pt>
                <c:pt idx="5">
                  <c:v>1293.5999999999999</c:v>
                </c:pt>
              </c:numCache>
            </c:numRef>
          </c:val>
        </c:ser>
        <c:dLbls>
          <c:showLegendKey val="0"/>
          <c:showVal val="0"/>
          <c:showCatName val="0"/>
          <c:showSerName val="0"/>
          <c:showPercent val="0"/>
          <c:showBubbleSize val="0"/>
        </c:dLbls>
        <c:gapWidth val="150"/>
        <c:shape val="box"/>
        <c:axId val="191609856"/>
        <c:axId val="193729280"/>
        <c:axId val="0"/>
      </c:bar3DChart>
      <c:catAx>
        <c:axId val="191609856"/>
        <c:scaling>
          <c:orientation val="minMax"/>
        </c:scaling>
        <c:delete val="0"/>
        <c:axPos val="b"/>
        <c:majorTickMark val="out"/>
        <c:minorTickMark val="none"/>
        <c:tickLblPos val="nextTo"/>
        <c:txPr>
          <a:bodyPr/>
          <a:lstStyle/>
          <a:p>
            <a:pPr>
              <a:defRPr sz="900" b="1">
                <a:latin typeface="Times New Roman" pitchFamily="18" charset="0"/>
                <a:cs typeface="Times New Roman" pitchFamily="18" charset="0"/>
              </a:defRPr>
            </a:pPr>
            <a:endParaRPr lang="ru-RU"/>
          </a:p>
        </c:txPr>
        <c:crossAx val="193729280"/>
        <c:crosses val="autoZero"/>
        <c:auto val="1"/>
        <c:lblAlgn val="ctr"/>
        <c:lblOffset val="100"/>
        <c:noMultiLvlLbl val="0"/>
      </c:catAx>
      <c:valAx>
        <c:axId val="193729280"/>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91609856"/>
        <c:crosses val="autoZero"/>
        <c:crossBetween val="between"/>
      </c:valAx>
    </c:plotArea>
    <c:legend>
      <c:legendPos val="r"/>
      <c:layout>
        <c:manualLayout>
          <c:xMode val="edge"/>
          <c:yMode val="edge"/>
          <c:x val="0.15073344092857963"/>
          <c:y val="0.92787211553306981"/>
          <c:w val="0.80321041391565162"/>
          <c:h val="5.7129012719563894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0"/>
      <c:rAngAx val="0"/>
      <c:perspective val="30"/>
    </c:view3D>
    <c:floor>
      <c:thickness val="0"/>
    </c:floor>
    <c:sideWall>
      <c:thickness val="0"/>
    </c:sideWall>
    <c:backWall>
      <c:thickness val="0"/>
    </c:backWall>
    <c:plotArea>
      <c:layout>
        <c:manualLayout>
          <c:layoutTarget val="inner"/>
          <c:xMode val="edge"/>
          <c:yMode val="edge"/>
          <c:x val="7.1922688109216024E-2"/>
          <c:y val="0.14044000241097232"/>
          <c:w val="0.82317464733869472"/>
          <c:h val="0.81376160965265554"/>
        </c:manualLayout>
      </c:layout>
      <c:pie3DChart>
        <c:varyColors val="1"/>
        <c:ser>
          <c:idx val="0"/>
          <c:order val="0"/>
          <c:tx>
            <c:strRef>
              <c:f>Лист1!$B$1</c:f>
              <c:strCache>
                <c:ptCount val="1"/>
                <c:pt idx="0">
                  <c:v>Столбец1</c:v>
                </c:pt>
              </c:strCache>
            </c:strRef>
          </c:tx>
          <c:spPr>
            <a:ln w="19050">
              <a:solidFill>
                <a:sysClr val="windowText" lastClr="000000"/>
              </a:solidFill>
            </a:ln>
          </c:spPr>
          <c:explosion val="40"/>
          <c:dPt>
            <c:idx val="0"/>
            <c:bubble3D val="0"/>
            <c:spPr>
              <a:solidFill>
                <a:schemeClr val="accent1">
                  <a:lumMod val="60000"/>
                  <a:lumOff val="40000"/>
                </a:schemeClr>
              </a:solidFill>
              <a:ln w="19050">
                <a:solidFill>
                  <a:sysClr val="windowText" lastClr="000000"/>
                </a:solidFill>
              </a:ln>
            </c:spPr>
          </c:dPt>
          <c:dPt>
            <c:idx val="1"/>
            <c:bubble3D val="0"/>
            <c:spPr>
              <a:solidFill>
                <a:srgbClr val="C00000"/>
              </a:solidFill>
              <a:ln w="19050">
                <a:solidFill>
                  <a:sysClr val="windowText" lastClr="000000"/>
                </a:solidFill>
              </a:ln>
            </c:spPr>
          </c:dPt>
          <c:dPt>
            <c:idx val="2"/>
            <c:bubble3D val="0"/>
            <c:spPr>
              <a:solidFill>
                <a:srgbClr val="00B0F0"/>
              </a:solidFill>
              <a:ln w="19050">
                <a:solidFill>
                  <a:sysClr val="windowText" lastClr="000000"/>
                </a:solidFill>
              </a:ln>
            </c:spPr>
          </c:dPt>
          <c:dPt>
            <c:idx val="3"/>
            <c:bubble3D val="0"/>
            <c:spPr>
              <a:solidFill>
                <a:srgbClr val="7030A0"/>
              </a:solidFill>
              <a:ln w="19050">
                <a:solidFill>
                  <a:sysClr val="windowText" lastClr="000000"/>
                </a:solidFill>
              </a:ln>
            </c:spPr>
          </c:dPt>
          <c:dPt>
            <c:idx val="4"/>
            <c:bubble3D val="0"/>
            <c:spPr>
              <a:solidFill>
                <a:srgbClr val="00B050"/>
              </a:solidFill>
              <a:ln w="19050">
                <a:solidFill>
                  <a:sysClr val="windowText" lastClr="000000"/>
                </a:solidFill>
              </a:ln>
            </c:spPr>
          </c:dPt>
          <c:dPt>
            <c:idx val="5"/>
            <c:bubble3D val="0"/>
            <c:spPr>
              <a:solidFill>
                <a:srgbClr val="FFC000"/>
              </a:solidFill>
              <a:ln w="19050">
                <a:solidFill>
                  <a:sysClr val="windowText" lastClr="000000"/>
                </a:solidFill>
              </a:ln>
            </c:spPr>
          </c:dPt>
          <c:dPt>
            <c:idx val="6"/>
            <c:bubble3D val="0"/>
            <c:spPr>
              <a:solidFill>
                <a:srgbClr val="4BACC6">
                  <a:lumMod val="50000"/>
                </a:srgbClr>
              </a:solidFill>
              <a:ln w="19050">
                <a:solidFill>
                  <a:sysClr val="windowText" lastClr="000000"/>
                </a:solidFill>
              </a:ln>
            </c:spPr>
          </c:dPt>
          <c:dLbls>
            <c:dLbl>
              <c:idx val="0"/>
              <c:layout>
                <c:manualLayout>
                  <c:x val="-1.6489988221436987E-2"/>
                  <c:y val="-5.5643702157272087E-2"/>
                </c:manualLayout>
              </c:layout>
              <c:tx>
                <c:rich>
                  <a:bodyPr/>
                  <a:lstStyle/>
                  <a:p>
                    <a:r>
                      <a:rPr lang="ru-RU"/>
                      <a:t>Доходы от использования имущества, находящегося в государственной собственности; 20,5</a:t>
                    </a:r>
                  </a:p>
                </c:rich>
              </c:tx>
              <c:showLegendKey val="0"/>
              <c:showVal val="1"/>
              <c:showCatName val="1"/>
              <c:showSerName val="0"/>
              <c:showPercent val="0"/>
              <c:showBubbleSize val="0"/>
            </c:dLbl>
            <c:dLbl>
              <c:idx val="1"/>
              <c:layout>
                <c:manualLayout>
                  <c:x val="0.16349235757295044"/>
                  <c:y val="-1.0752688172043012E-2"/>
                </c:manualLayout>
              </c:layout>
              <c:showLegendKey val="0"/>
              <c:showVal val="1"/>
              <c:showCatName val="1"/>
              <c:showSerName val="0"/>
              <c:showPercent val="0"/>
              <c:showBubbleSize val="0"/>
            </c:dLbl>
            <c:dLbl>
              <c:idx val="2"/>
              <c:layout>
                <c:manualLayout>
                  <c:x val="4.7126106140757171E-2"/>
                  <c:y val="0.22708746084158835"/>
                </c:manualLayout>
              </c:layout>
              <c:showLegendKey val="0"/>
              <c:showVal val="1"/>
              <c:showCatName val="1"/>
              <c:showSerName val="0"/>
              <c:showPercent val="0"/>
              <c:showBubbleSize val="0"/>
            </c:dLbl>
            <c:dLbl>
              <c:idx val="3"/>
              <c:layout>
                <c:manualLayout>
                  <c:x val="1.0012706008922041E-3"/>
                  <c:y val="-0.11384982931413312"/>
                </c:manualLayout>
              </c:layout>
              <c:showLegendKey val="0"/>
              <c:showVal val="1"/>
              <c:showCatName val="1"/>
              <c:showSerName val="0"/>
              <c:showPercent val="0"/>
              <c:showBubbleSize val="0"/>
            </c:dLbl>
            <c:dLbl>
              <c:idx val="4"/>
              <c:layout>
                <c:manualLayout>
                  <c:x val="0.16913534218116749"/>
                  <c:y val="-0.19329486736913626"/>
                </c:manualLayout>
              </c:layout>
              <c:tx>
                <c:rich>
                  <a:bodyPr/>
                  <a:lstStyle/>
                  <a:p>
                    <a:r>
                      <a:rPr lang="ru-RU"/>
                      <a:t>Административ-ные платежи и сборы; 0,2</a:t>
                    </a:r>
                  </a:p>
                </c:rich>
              </c:tx>
              <c:showLegendKey val="0"/>
              <c:showVal val="1"/>
              <c:showCatName val="1"/>
              <c:showSerName val="0"/>
              <c:showPercent val="0"/>
              <c:showBubbleSize val="0"/>
            </c:dLbl>
            <c:dLbl>
              <c:idx val="5"/>
              <c:layout>
                <c:manualLayout>
                  <c:x val="0.21293341865835674"/>
                  <c:y val="-9.8510348001907042E-2"/>
                </c:manualLayout>
              </c:layout>
              <c:tx>
                <c:rich>
                  <a:bodyPr/>
                  <a:lstStyle/>
                  <a:p>
                    <a:r>
                      <a:rPr lang="ru-RU" b="1">
                        <a:latin typeface="Times New Roman" pitchFamily="18" charset="0"/>
                        <a:cs typeface="Times New Roman" pitchFamily="18" charset="0"/>
                      </a:rPr>
                      <a:t>Штрафы, санкции, возмещение ущерба; 23,9</a:t>
                    </a:r>
                    <a:endParaRPr lang="ru-RU" b="1"/>
                  </a:p>
                </c:rich>
              </c:tx>
              <c:showLegendKey val="0"/>
              <c:showVal val="1"/>
              <c:showCatName val="1"/>
              <c:showSerName val="0"/>
              <c:showPercent val="0"/>
              <c:showBubbleSize val="0"/>
            </c:dLbl>
            <c:dLbl>
              <c:idx val="6"/>
              <c:layout>
                <c:manualLayout>
                  <c:x val="-1.1906550550438296E-3"/>
                  <c:y val="-0.12203486046498893"/>
                </c:manualLayout>
              </c:layout>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Лист1!$A$2:$A$8</c:f>
              <c:strCache>
                <c:ptCount val="7"/>
                <c:pt idx="0">
                  <c:v>Доходы от использования имущества, находящегося в государственной собственности </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Административные платежи и сборы</c:v>
                </c:pt>
                <c:pt idx="5">
                  <c:v>Штрафы, санкции, возмещение ущерба</c:v>
                </c:pt>
                <c:pt idx="6">
                  <c:v>Прочие неналоговые доходы</c:v>
                </c:pt>
              </c:strCache>
            </c:strRef>
          </c:cat>
          <c:val>
            <c:numRef>
              <c:f>Лист1!$B$2:$B$8</c:f>
              <c:numCache>
                <c:formatCode>General</c:formatCode>
                <c:ptCount val="7"/>
                <c:pt idx="0">
                  <c:v>20.5</c:v>
                </c:pt>
                <c:pt idx="1">
                  <c:v>35.4</c:v>
                </c:pt>
                <c:pt idx="2">
                  <c:v>14.8</c:v>
                </c:pt>
                <c:pt idx="3">
                  <c:v>4.5999999999999996</c:v>
                </c:pt>
                <c:pt idx="4">
                  <c:v>0.2</c:v>
                </c:pt>
                <c:pt idx="5">
                  <c:v>23.9</c:v>
                </c:pt>
                <c:pt idx="6">
                  <c:v>0.60000000000000053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chemeClr val="accent2">
            <a:lumMod val="20000"/>
            <a:lumOff val="80000"/>
          </a:schemeClr>
        </a:solidFill>
      </c:spPr>
    </c:floor>
    <c:sideWall>
      <c:thickness val="0"/>
      <c:spPr>
        <a:solidFill>
          <a:schemeClr val="accent2">
            <a:lumMod val="20000"/>
            <a:lumOff val="80000"/>
          </a:schemeClr>
        </a:solidFill>
      </c:spPr>
    </c:sideWall>
    <c:backWall>
      <c:thickness val="0"/>
      <c:spPr>
        <a:solidFill>
          <a:schemeClr val="accent2">
            <a:lumMod val="20000"/>
            <a:lumOff val="80000"/>
          </a:schemeClr>
        </a:solidFill>
      </c:spPr>
    </c:backWall>
    <c:plotArea>
      <c:layout>
        <c:manualLayout>
          <c:layoutTarget val="inner"/>
          <c:xMode val="edge"/>
          <c:yMode val="edge"/>
          <c:x val="6.2613417454273609E-2"/>
          <c:y val="7.9710144927536225E-2"/>
          <c:w val="0.77772569508623624"/>
          <c:h val="0.77044733538742438"/>
        </c:manualLayout>
      </c:layout>
      <c:bar3DChart>
        <c:barDir val="col"/>
        <c:grouping val="clustered"/>
        <c:varyColors val="0"/>
        <c:ser>
          <c:idx val="0"/>
          <c:order val="0"/>
          <c:tx>
            <c:strRef>
              <c:f>Лист1!$B$1</c:f>
              <c:strCache>
                <c:ptCount val="1"/>
                <c:pt idx="0">
                  <c:v>План </c:v>
                </c:pt>
              </c:strCache>
            </c:strRef>
          </c:tx>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8100000" scaled="1"/>
              <a:tileRect/>
            </a:gradFill>
            <a:ln w="12700">
              <a:solidFill>
                <a:schemeClr val="tx1"/>
              </a:solidFill>
            </a:ln>
          </c:spPr>
          <c:invertIfNegative val="0"/>
          <c:dLbls>
            <c:dLbl>
              <c:idx val="0"/>
              <c:layout>
                <c:manualLayout>
                  <c:x val="0"/>
                  <c:y val="-3.5714285714285712E-2"/>
                </c:manualLayout>
              </c:layout>
              <c:showLegendKey val="1"/>
              <c:showVal val="1"/>
              <c:showCatName val="0"/>
              <c:showSerName val="0"/>
              <c:showPercent val="0"/>
              <c:showBubbleSize val="0"/>
            </c:dLbl>
            <c:dLbl>
              <c:idx val="1"/>
              <c:layout>
                <c:manualLayout>
                  <c:x val="0"/>
                  <c:y val="-1.5873015873015872E-2"/>
                </c:manualLayout>
              </c:layout>
              <c:showLegendKey val="1"/>
              <c:showVal val="1"/>
              <c:showCatName val="0"/>
              <c:showSerName val="0"/>
              <c:showPercent val="0"/>
              <c:showBubbleSize val="0"/>
            </c:dLbl>
            <c:dLbl>
              <c:idx val="2"/>
              <c:layout>
                <c:manualLayout>
                  <c:x val="7.6507549494204655E-17"/>
                  <c:y val="-3.1746031746031751E-2"/>
                </c:manualLayout>
              </c:layout>
              <c:showLegendKey val="1"/>
              <c:showVal val="1"/>
              <c:showCatName val="0"/>
              <c:showSerName val="0"/>
              <c:showPercent val="0"/>
              <c:showBubbleSize val="0"/>
            </c:dLbl>
            <c:dLbl>
              <c:idx val="3"/>
              <c:layout>
                <c:manualLayout>
                  <c:x val="0"/>
                  <c:y val="-2.3809523809523808E-2"/>
                </c:manualLayout>
              </c:layout>
              <c:showLegendKey val="1"/>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1"/>
            <c:showVal val="1"/>
            <c:showCatName val="0"/>
            <c:showSerName val="0"/>
            <c:showPercent val="0"/>
            <c:showBubbleSize val="0"/>
            <c:showLeaderLines val="0"/>
          </c:dLbls>
          <c:cat>
            <c:strRef>
              <c:f>Лист1!$A$2:$A$5</c:f>
              <c:strCache>
                <c:ptCount val="4"/>
                <c:pt idx="0">
                  <c:v>2011</c:v>
                </c:pt>
                <c:pt idx="1">
                  <c:v>2012</c:v>
                </c:pt>
                <c:pt idx="2">
                  <c:v>2013</c:v>
                </c:pt>
                <c:pt idx="3">
                  <c:v>2014 план</c:v>
                </c:pt>
              </c:strCache>
            </c:strRef>
          </c:cat>
          <c:val>
            <c:numRef>
              <c:f>Лист1!$B$2:$B$5</c:f>
              <c:numCache>
                <c:formatCode>General</c:formatCode>
                <c:ptCount val="4"/>
                <c:pt idx="0">
                  <c:v>250.9</c:v>
                </c:pt>
                <c:pt idx="1">
                  <c:v>50.9</c:v>
                </c:pt>
                <c:pt idx="2">
                  <c:v>1053</c:v>
                </c:pt>
                <c:pt idx="3">
                  <c:v>940</c:v>
                </c:pt>
              </c:numCache>
            </c:numRef>
          </c:val>
        </c:ser>
        <c:ser>
          <c:idx val="1"/>
          <c:order val="1"/>
          <c:tx>
            <c:strRef>
              <c:f>Лист1!$C$1</c:f>
              <c:strCache>
                <c:ptCount val="1"/>
                <c:pt idx="0">
                  <c:v>Исполнено</c:v>
                </c:pt>
              </c:strCache>
            </c:strRef>
          </c:tx>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ln w="12700">
              <a:solidFill>
                <a:schemeClr val="tx1"/>
              </a:solidFill>
            </a:ln>
          </c:spPr>
          <c:invertIfNegative val="0"/>
          <c:dLbls>
            <c:dLbl>
              <c:idx val="0"/>
              <c:layout>
                <c:manualLayout>
                  <c:x val="5.555555555555549E-2"/>
                  <c:y val="-7.2750482331543202E-17"/>
                </c:manualLayout>
              </c:layout>
              <c:showLegendKey val="1"/>
              <c:showVal val="1"/>
              <c:showCatName val="0"/>
              <c:showSerName val="0"/>
              <c:showPercent val="0"/>
              <c:showBubbleSize val="0"/>
            </c:dLbl>
            <c:dLbl>
              <c:idx val="1"/>
              <c:layout>
                <c:manualLayout>
                  <c:x val="3.7037037037037111E-2"/>
                  <c:y val="-1.1904761904761915E-2"/>
                </c:manualLayout>
              </c:layout>
              <c:showLegendKey val="1"/>
              <c:showVal val="1"/>
              <c:showCatName val="0"/>
              <c:showSerName val="0"/>
              <c:showPercent val="0"/>
              <c:showBubbleSize val="0"/>
            </c:dLbl>
            <c:dLbl>
              <c:idx val="2"/>
              <c:layout>
                <c:manualLayout>
                  <c:x val="2.083333333333336E-2"/>
                  <c:y val="-1.5873015873015879E-2"/>
                </c:manualLayout>
              </c:layout>
              <c:showLegendKey val="1"/>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1"/>
            <c:showVal val="1"/>
            <c:showCatName val="0"/>
            <c:showSerName val="0"/>
            <c:showPercent val="0"/>
            <c:showBubbleSize val="0"/>
            <c:showLeaderLines val="0"/>
          </c:dLbls>
          <c:cat>
            <c:strRef>
              <c:f>Лист1!$A$2:$A$5</c:f>
              <c:strCache>
                <c:ptCount val="4"/>
                <c:pt idx="0">
                  <c:v>2011</c:v>
                </c:pt>
                <c:pt idx="1">
                  <c:v>2012</c:v>
                </c:pt>
                <c:pt idx="2">
                  <c:v>2013</c:v>
                </c:pt>
                <c:pt idx="3">
                  <c:v>2014 план</c:v>
                </c:pt>
              </c:strCache>
            </c:strRef>
          </c:cat>
          <c:val>
            <c:numRef>
              <c:f>Лист1!$C$2:$C$5</c:f>
              <c:numCache>
                <c:formatCode>General</c:formatCode>
                <c:ptCount val="4"/>
                <c:pt idx="0">
                  <c:v>250.9</c:v>
                </c:pt>
                <c:pt idx="1">
                  <c:v>50.9</c:v>
                </c:pt>
                <c:pt idx="2">
                  <c:v>2.1</c:v>
                </c:pt>
              </c:numCache>
            </c:numRef>
          </c:val>
        </c:ser>
        <c:dLbls>
          <c:showLegendKey val="0"/>
          <c:showVal val="0"/>
          <c:showCatName val="0"/>
          <c:showSerName val="0"/>
          <c:showPercent val="0"/>
          <c:showBubbleSize val="0"/>
        </c:dLbls>
        <c:gapWidth val="150"/>
        <c:shape val="box"/>
        <c:axId val="194186240"/>
        <c:axId val="194188032"/>
        <c:axId val="0"/>
      </c:bar3DChart>
      <c:catAx>
        <c:axId val="194186240"/>
        <c:scaling>
          <c:orientation val="minMax"/>
        </c:scaling>
        <c:delete val="0"/>
        <c:axPos val="b"/>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94188032"/>
        <c:crosses val="autoZero"/>
        <c:auto val="1"/>
        <c:lblAlgn val="ctr"/>
        <c:lblOffset val="100"/>
        <c:noMultiLvlLbl val="0"/>
      </c:catAx>
      <c:valAx>
        <c:axId val="194188032"/>
        <c:scaling>
          <c:orientation val="minMax"/>
          <c:max val="1100"/>
        </c:scaling>
        <c:delete val="0"/>
        <c:axPos val="l"/>
        <c:majorGridlines/>
        <c:numFmt formatCode="General" sourceLinked="1"/>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ru-RU"/>
          </a:p>
        </c:txPr>
        <c:crossAx val="194186240"/>
        <c:crosses val="autoZero"/>
        <c:crossBetween val="between"/>
        <c:majorUnit val="100"/>
      </c:valAx>
    </c:plotArea>
    <c:legend>
      <c:legendPos val="r"/>
      <c:layout>
        <c:manualLayout>
          <c:xMode val="edge"/>
          <c:yMode val="edge"/>
          <c:x val="0.85077208071995691"/>
          <c:y val="0.37707120849024306"/>
          <c:w val="0.12836198292114895"/>
          <c:h val="0.24585758301951385"/>
        </c:manualLayout>
      </c:layout>
      <c:overlay val="0"/>
      <c:txPr>
        <a:bodyPr/>
        <a:lstStyle/>
        <a:p>
          <a:pPr>
            <a:defRPr sz="10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0456481124297506"/>
          <c:w val="1"/>
          <c:h val="0.73100032524752845"/>
        </c:manualLayout>
      </c:layout>
      <c:pie3DChart>
        <c:varyColors val="1"/>
        <c:ser>
          <c:idx val="0"/>
          <c:order val="0"/>
          <c:tx>
            <c:strRef>
              <c:f>Лист1!$B$1</c:f>
              <c:strCache>
                <c:ptCount val="1"/>
                <c:pt idx="0">
                  <c:v>Столбец1</c:v>
                </c:pt>
              </c:strCache>
            </c:strRef>
          </c:tx>
          <c:spPr>
            <a:ln w="12700">
              <a:solidFill>
                <a:schemeClr val="tx1"/>
              </a:solidFill>
            </a:ln>
          </c:spPr>
          <c:explosion val="25"/>
          <c:dPt>
            <c:idx val="0"/>
            <c:bubble3D val="0"/>
            <c:spPr>
              <a:solidFill>
                <a:srgbClr val="0070C0"/>
              </a:solidFill>
              <a:ln w="12700">
                <a:solidFill>
                  <a:schemeClr val="tx1"/>
                </a:solidFill>
              </a:ln>
            </c:spPr>
          </c:dPt>
          <c:dPt>
            <c:idx val="2"/>
            <c:bubble3D val="0"/>
            <c:spPr>
              <a:solidFill>
                <a:srgbClr val="00B050"/>
              </a:solidFill>
              <a:ln w="12700">
                <a:solidFill>
                  <a:schemeClr val="tx1"/>
                </a:solidFill>
              </a:ln>
            </c:spPr>
          </c:dPt>
          <c:dPt>
            <c:idx val="3"/>
            <c:bubble3D val="0"/>
            <c:spPr>
              <a:solidFill>
                <a:schemeClr val="tx2">
                  <a:lumMod val="60000"/>
                  <a:lumOff val="40000"/>
                </a:schemeClr>
              </a:solidFill>
              <a:ln w="12700">
                <a:solidFill>
                  <a:schemeClr val="tx1"/>
                </a:solidFill>
              </a:ln>
            </c:spPr>
          </c:dPt>
          <c:dPt>
            <c:idx val="4"/>
            <c:bubble3D val="0"/>
            <c:spPr>
              <a:solidFill>
                <a:srgbClr val="FF0000"/>
              </a:solidFill>
              <a:ln w="12700">
                <a:solidFill>
                  <a:schemeClr val="tx1"/>
                </a:solidFill>
              </a:ln>
            </c:spPr>
          </c:dPt>
          <c:dPt>
            <c:idx val="5"/>
            <c:bubble3D val="0"/>
            <c:spPr>
              <a:solidFill>
                <a:srgbClr val="FFFF00"/>
              </a:solidFill>
              <a:ln w="12700">
                <a:solidFill>
                  <a:schemeClr val="tx1"/>
                </a:solidFill>
              </a:ln>
            </c:spPr>
          </c:dPt>
          <c:dPt>
            <c:idx val="6"/>
            <c:bubble3D val="0"/>
            <c:spPr>
              <a:solidFill>
                <a:srgbClr val="7030A0"/>
              </a:solidFill>
              <a:ln w="12700">
                <a:solidFill>
                  <a:schemeClr val="tx1"/>
                </a:solidFill>
              </a:ln>
            </c:spPr>
          </c:dPt>
          <c:dPt>
            <c:idx val="8"/>
            <c:bubble3D val="0"/>
            <c:spPr>
              <a:solidFill>
                <a:srgbClr val="FF9900"/>
              </a:solidFill>
              <a:ln w="12700">
                <a:solidFill>
                  <a:schemeClr val="tx1"/>
                </a:solidFill>
              </a:ln>
            </c:spPr>
          </c:dPt>
          <c:dLbls>
            <c:dLbl>
              <c:idx val="0"/>
              <c:layout>
                <c:manualLayout>
                  <c:x val="-0.10130476788560951"/>
                  <c:y val="-7.5893107021564729E-3"/>
                </c:manualLayout>
              </c:layout>
              <c:showLegendKey val="0"/>
              <c:showVal val="1"/>
              <c:showCatName val="1"/>
              <c:showSerName val="0"/>
              <c:showPercent val="1"/>
              <c:showBubbleSize val="0"/>
            </c:dLbl>
            <c:dLbl>
              <c:idx val="1"/>
              <c:layout>
                <c:manualLayout>
                  <c:x val="-2.7296012881018981E-2"/>
                  <c:y val="-7.5759640621845346E-3"/>
                </c:manualLayout>
              </c:layout>
              <c:showLegendKey val="0"/>
              <c:showVal val="1"/>
              <c:showCatName val="1"/>
              <c:showSerName val="0"/>
              <c:showPercent val="1"/>
              <c:showBubbleSize val="0"/>
            </c:dLbl>
            <c:dLbl>
              <c:idx val="2"/>
              <c:layout>
                <c:manualLayout>
                  <c:x val="7.1826549850282806E-2"/>
                  <c:y val="-2.5851713287220312E-2"/>
                </c:manualLayout>
              </c:layout>
              <c:showLegendKey val="0"/>
              <c:showVal val="1"/>
              <c:showCatName val="1"/>
              <c:showSerName val="0"/>
              <c:showPercent val="1"/>
              <c:showBubbleSize val="0"/>
            </c:dLbl>
            <c:dLbl>
              <c:idx val="3"/>
              <c:layout>
                <c:manualLayout>
                  <c:x val="-1.530278198793226E-3"/>
                  <c:y val="-0.12805370482535836"/>
                </c:manualLayout>
              </c:layout>
              <c:showLegendKey val="0"/>
              <c:showVal val="1"/>
              <c:showCatName val="1"/>
              <c:showSerName val="0"/>
              <c:showPercent val="1"/>
              <c:showBubbleSize val="0"/>
            </c:dLbl>
            <c:dLbl>
              <c:idx val="4"/>
              <c:layout>
                <c:manualLayout>
                  <c:x val="3.6418397138559967E-2"/>
                  <c:y val="7.0584764800653524E-2"/>
                </c:manualLayout>
              </c:layout>
              <c:showLegendKey val="0"/>
              <c:showVal val="1"/>
              <c:showCatName val="1"/>
              <c:showSerName val="0"/>
              <c:showPercent val="1"/>
              <c:showBubbleSize val="0"/>
            </c:dLbl>
            <c:dLbl>
              <c:idx val="5"/>
              <c:layout>
                <c:manualLayout>
                  <c:x val="-2.446867850438883E-2"/>
                  <c:y val="0.14718049666868566"/>
                </c:manualLayout>
              </c:layout>
              <c:showLegendKey val="0"/>
              <c:showVal val="1"/>
              <c:showCatName val="1"/>
              <c:showSerName val="0"/>
              <c:showPercent val="1"/>
              <c:showBubbleSize val="0"/>
            </c:dLbl>
            <c:dLbl>
              <c:idx val="6"/>
              <c:layout>
                <c:manualLayout>
                  <c:x val="-0.10700260782009002"/>
                  <c:y val="6.2698949374843993E-2"/>
                </c:manualLayout>
              </c:layout>
              <c:showLegendKey val="0"/>
              <c:showVal val="1"/>
              <c:showCatName val="1"/>
              <c:showSerName val="0"/>
              <c:showPercent val="1"/>
              <c:showBubbleSize val="0"/>
            </c:dLbl>
            <c:dLbl>
              <c:idx val="7"/>
              <c:layout>
                <c:manualLayout>
                  <c:x val="-6.0035406372325524E-2"/>
                  <c:y val="5.620305875227135E-2"/>
                </c:manualLayout>
              </c:layout>
              <c:showLegendKey val="0"/>
              <c:showVal val="1"/>
              <c:showCatName val="1"/>
              <c:showSerName val="0"/>
              <c:showPercent val="1"/>
              <c:showBubbleSize val="0"/>
            </c:dLbl>
            <c:dLbl>
              <c:idx val="8"/>
              <c:layout>
                <c:manualLayout>
                  <c:x val="0"/>
                  <c:y val="-0.13534246921057944"/>
                </c:manualLayout>
              </c:layout>
              <c:showLegendKey val="0"/>
              <c:showVal val="1"/>
              <c:showCatName val="1"/>
              <c:showSerName val="0"/>
              <c:showPercent val="1"/>
              <c:showBubbleSize val="0"/>
            </c:dLbl>
            <c:dLbl>
              <c:idx val="9"/>
              <c:layout>
                <c:manualLayout>
                  <c:x val="-0.11410151195889247"/>
                  <c:y val="2.8606400161518271E-3"/>
                </c:manualLayout>
              </c:layout>
              <c:tx>
                <c:rich>
                  <a:bodyPr/>
                  <a:lstStyle/>
                  <a:p>
                    <a:r>
                      <a:rPr lang="ru-RU"/>
                      <a:t>Прочие; 323,2; 3,7%</a:t>
                    </a:r>
                  </a:p>
                </c:rich>
              </c:tx>
              <c:showLegendKey val="0"/>
              <c:showVal val="1"/>
              <c:showCatName val="1"/>
              <c:showSerName val="0"/>
              <c:showPercent val="1"/>
              <c:showBubbleSize val="0"/>
            </c:dLbl>
            <c:numFmt formatCode="0.0%" sourceLinked="0"/>
            <c:txPr>
              <a:bodyPr/>
              <a:lstStyle/>
              <a:p>
                <a:pPr>
                  <a:defRPr b="1" i="0" baseline="0">
                    <a:latin typeface="Times New Roman" pitchFamily="18" charset="0"/>
                  </a:defRPr>
                </a:pPr>
                <a:endParaRPr lang="ru-RU"/>
              </a:p>
            </c:txPr>
            <c:showLegendKey val="0"/>
            <c:showVal val="1"/>
            <c:showCatName val="1"/>
            <c:showSerName val="0"/>
            <c:showPercent val="1"/>
            <c:showBubbleSize val="0"/>
            <c:showLeaderLines val="1"/>
          </c:dLbls>
          <c:cat>
            <c:strRef>
              <c:f>Лист1!$A$2:$A$11</c:f>
              <c:strCache>
                <c:ptCount val="10"/>
                <c:pt idx="0">
                  <c:v>Минфин АО</c:v>
                </c:pt>
                <c:pt idx="1">
                  <c:v>Министерство ПБ и ГЗ АО</c:v>
                </c:pt>
                <c:pt idx="2">
                  <c:v>Минстрой АО</c:v>
                </c:pt>
                <c:pt idx="3">
                  <c:v>Министерство ЖКХ АО</c:v>
                </c:pt>
                <c:pt idx="4">
                  <c:v>Министерство с/х АО</c:v>
                </c:pt>
                <c:pt idx="5">
                  <c:v>Минобрнауки АО</c:v>
                </c:pt>
                <c:pt idx="6">
                  <c:v>Минсоцзащиты АО</c:v>
                </c:pt>
                <c:pt idx="7">
                  <c:v>Минздрав АО</c:v>
                </c:pt>
                <c:pt idx="8">
                  <c:v>Минтранспорта и дор. хоз-ва АО</c:v>
                </c:pt>
                <c:pt idx="9">
                  <c:v>Прочие </c:v>
                </c:pt>
              </c:strCache>
            </c:strRef>
          </c:cat>
          <c:val>
            <c:numRef>
              <c:f>Лист1!$B$2:$B$11</c:f>
              <c:numCache>
                <c:formatCode>General</c:formatCode>
                <c:ptCount val="10"/>
                <c:pt idx="0">
                  <c:v>259</c:v>
                </c:pt>
                <c:pt idx="1">
                  <c:v>681.2</c:v>
                </c:pt>
                <c:pt idx="2">
                  <c:v>886.3</c:v>
                </c:pt>
                <c:pt idx="3">
                  <c:v>1127.5999999999999</c:v>
                </c:pt>
                <c:pt idx="4">
                  <c:v>407.7</c:v>
                </c:pt>
                <c:pt idx="5">
                  <c:v>224.5</c:v>
                </c:pt>
                <c:pt idx="6">
                  <c:v>955.7</c:v>
                </c:pt>
                <c:pt idx="7">
                  <c:v>362.7</c:v>
                </c:pt>
                <c:pt idx="8">
                  <c:v>3558.1</c:v>
                </c:pt>
                <c:pt idx="9">
                  <c:v>323.2</c:v>
                </c:pt>
              </c:numCache>
            </c:numRef>
          </c:val>
        </c:ser>
        <c:dLbls>
          <c:showLegendKey val="0"/>
          <c:showVal val="0"/>
          <c:showCatName val="0"/>
          <c:showSerName val="0"/>
          <c:showPercent val="0"/>
          <c:showBubbleSize val="0"/>
          <c:showLeaderLines val="1"/>
        </c:dLbls>
      </c:pie3DChart>
      <c:spPr>
        <a:ln>
          <a:noFill/>
        </a:ln>
      </c:spPr>
    </c:plotArea>
    <c:plotVisOnly val="1"/>
    <c:dispBlanksAs val="zero"/>
    <c:showDLblsOverMax val="0"/>
  </c:chart>
  <c:spPr>
    <a:noFill/>
    <a:ln>
      <a:noFill/>
    </a:ln>
    <a:effectLst>
      <a:glow rad="228600">
        <a:schemeClr val="accent6">
          <a:satMod val="175000"/>
          <a:alpha val="40000"/>
        </a:schemeClr>
      </a:glow>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988671603842947E-3"/>
          <c:y val="5.8033185765942352E-2"/>
          <c:w val="0.98141650134108827"/>
          <c:h val="0.58337541140690752"/>
        </c:manualLayout>
      </c:layout>
      <c:pie3DChart>
        <c:varyColors val="1"/>
        <c:ser>
          <c:idx val="0"/>
          <c:order val="0"/>
          <c:tx>
            <c:strRef>
              <c:f>Лист1!$B$1:$N$1</c:f>
              <c:strCache>
                <c:ptCount val="1"/>
                <c:pt idx="0">
                  <c:v>Национальная оборона Национальная безопасность Национальная экономика ЖКХ Охрана окружающей среды Образование Культура, кинематография Здравоохранение Социальная политика Физическая культура и спорт Средства массовой информации Обслуживание гос.долга Межб</c:v>
                </c:pt>
              </c:strCache>
            </c:strRef>
          </c:tx>
          <c:spPr>
            <a:ln>
              <a:solidFill>
                <a:schemeClr val="tx1"/>
              </a:solidFill>
            </a:ln>
          </c:spPr>
          <c:explosion val="25"/>
          <c:dPt>
            <c:idx val="0"/>
            <c:bubble3D val="0"/>
            <c:spPr>
              <a:solidFill>
                <a:srgbClr val="00B0F0"/>
              </a:solidFill>
              <a:ln>
                <a:solidFill>
                  <a:schemeClr val="tx1"/>
                </a:solidFill>
              </a:ln>
            </c:spPr>
          </c:dPt>
          <c:dPt>
            <c:idx val="2"/>
            <c:bubble3D val="0"/>
            <c:spPr>
              <a:solidFill>
                <a:srgbClr val="FFFF00"/>
              </a:solidFill>
              <a:ln>
                <a:solidFill>
                  <a:schemeClr val="tx1"/>
                </a:solidFill>
              </a:ln>
            </c:spPr>
          </c:dPt>
          <c:dPt>
            <c:idx val="3"/>
            <c:bubble3D val="0"/>
            <c:spPr>
              <a:solidFill>
                <a:srgbClr val="FF9900"/>
              </a:solidFill>
              <a:ln>
                <a:solidFill>
                  <a:schemeClr val="tx1"/>
                </a:solidFill>
              </a:ln>
            </c:spPr>
          </c:dPt>
          <c:dPt>
            <c:idx val="5"/>
            <c:bubble3D val="0"/>
            <c:spPr>
              <a:solidFill>
                <a:srgbClr val="FF0000"/>
              </a:solidFill>
              <a:ln>
                <a:solidFill>
                  <a:schemeClr val="tx1"/>
                </a:solidFill>
              </a:ln>
            </c:spPr>
          </c:dPt>
          <c:dPt>
            <c:idx val="7"/>
            <c:bubble3D val="0"/>
            <c:spPr>
              <a:solidFill>
                <a:srgbClr val="FF0066"/>
              </a:solidFill>
              <a:ln>
                <a:solidFill>
                  <a:schemeClr val="tx1"/>
                </a:solidFill>
              </a:ln>
            </c:spPr>
          </c:dPt>
          <c:dPt>
            <c:idx val="8"/>
            <c:bubble3D val="0"/>
            <c:spPr>
              <a:solidFill>
                <a:srgbClr val="00B050"/>
              </a:solidFill>
              <a:ln>
                <a:solidFill>
                  <a:schemeClr val="tx1"/>
                </a:solidFill>
              </a:ln>
            </c:spPr>
          </c:dPt>
          <c:dPt>
            <c:idx val="10"/>
            <c:bubble3D val="0"/>
            <c:spPr>
              <a:solidFill>
                <a:srgbClr val="F9D8AD"/>
              </a:solidFill>
              <a:ln>
                <a:solidFill>
                  <a:schemeClr val="tx1"/>
                </a:solidFill>
              </a:ln>
            </c:spPr>
          </c:dPt>
          <c:dLbls>
            <c:dLbl>
              <c:idx val="0"/>
              <c:layout>
                <c:manualLayout>
                  <c:x val="-4.8959208737405474E-2"/>
                  <c:y val="-3.6597330095642804E-2"/>
                </c:manualLayout>
              </c:layout>
              <c:showLegendKey val="0"/>
              <c:showVal val="0"/>
              <c:showCatName val="0"/>
              <c:showSerName val="0"/>
              <c:showPercent val="1"/>
              <c:showBubbleSize val="0"/>
            </c:dLbl>
            <c:dLbl>
              <c:idx val="1"/>
              <c:layout>
                <c:manualLayout>
                  <c:x val="-7.9029323212532702E-3"/>
                  <c:y val="-1.3853536548274814E-2"/>
                </c:manualLayout>
              </c:layout>
              <c:numFmt formatCode="0.00%" sourceLinked="0"/>
              <c:spPr/>
              <c:txPr>
                <a:bodyPr/>
                <a:lstStyle/>
                <a:p>
                  <a:pPr>
                    <a:defRPr sz="1200" b="1" i="0" baseline="0">
                      <a:latin typeface="Times New Roman" pitchFamily="18" charset="0"/>
                    </a:defRPr>
                  </a:pPr>
                  <a:endParaRPr lang="ru-RU"/>
                </a:p>
              </c:txPr>
              <c:showLegendKey val="0"/>
              <c:showVal val="0"/>
              <c:showCatName val="0"/>
              <c:showSerName val="0"/>
              <c:showPercent val="1"/>
              <c:showBubbleSize val="0"/>
            </c:dLbl>
            <c:dLbl>
              <c:idx val="2"/>
              <c:layout>
                <c:manualLayout>
                  <c:x val="5.7611836079175548E-2"/>
                  <c:y val="-1.0652001833104194E-2"/>
                </c:manualLayout>
              </c:layout>
              <c:showLegendKey val="0"/>
              <c:showVal val="0"/>
              <c:showCatName val="0"/>
              <c:showSerName val="0"/>
              <c:showPercent val="1"/>
              <c:showBubbleSize val="0"/>
            </c:dLbl>
            <c:dLbl>
              <c:idx val="3"/>
              <c:layout>
                <c:manualLayout>
                  <c:x val="3.1674162795378276E-2"/>
                  <c:y val="-1.3994041884005005E-2"/>
                </c:manualLayout>
              </c:layout>
              <c:showLegendKey val="0"/>
              <c:showVal val="0"/>
              <c:showCatName val="0"/>
              <c:showSerName val="0"/>
              <c:showPercent val="1"/>
              <c:showBubbleSize val="0"/>
            </c:dLbl>
            <c:dLbl>
              <c:idx val="4"/>
              <c:layout>
                <c:manualLayout>
                  <c:x val="3.0768794745727208E-2"/>
                  <c:y val="-8.0460037432029854E-2"/>
                </c:manualLayout>
              </c:layout>
              <c:showLegendKey val="0"/>
              <c:showVal val="0"/>
              <c:showCatName val="0"/>
              <c:showSerName val="0"/>
              <c:showPercent val="1"/>
              <c:showBubbleSize val="0"/>
            </c:dLbl>
            <c:dLbl>
              <c:idx val="5"/>
              <c:layout>
                <c:manualLayout>
                  <c:x val="2.8568259953421315E-3"/>
                  <c:y val="2.5997541446559688E-2"/>
                </c:manualLayout>
              </c:layout>
              <c:showLegendKey val="0"/>
              <c:showVal val="0"/>
              <c:showCatName val="0"/>
              <c:showSerName val="0"/>
              <c:showPercent val="1"/>
              <c:showBubbleSize val="0"/>
            </c:dLbl>
            <c:dLbl>
              <c:idx val="6"/>
              <c:layout>
                <c:manualLayout>
                  <c:x val="-4.6963307990257087E-2"/>
                  <c:y val="1.6867670022259876E-2"/>
                </c:manualLayout>
              </c:layout>
              <c:showLegendKey val="0"/>
              <c:showVal val="0"/>
              <c:showCatName val="0"/>
              <c:showSerName val="0"/>
              <c:showPercent val="1"/>
              <c:showBubbleSize val="0"/>
            </c:dLbl>
            <c:dLbl>
              <c:idx val="7"/>
              <c:layout>
                <c:manualLayout>
                  <c:x val="2.0973387716206836E-2"/>
                  <c:y val="1.6264106227227924E-2"/>
                </c:manualLayout>
              </c:layout>
              <c:showLegendKey val="0"/>
              <c:showVal val="0"/>
              <c:showCatName val="0"/>
              <c:showSerName val="0"/>
              <c:showPercent val="1"/>
              <c:showBubbleSize val="0"/>
            </c:dLbl>
            <c:dLbl>
              <c:idx val="8"/>
              <c:layout>
                <c:manualLayout>
                  <c:x val="-4.6784550992158842E-2"/>
                  <c:y val="-1.3275524103790824E-2"/>
                </c:manualLayout>
              </c:layout>
              <c:showLegendKey val="0"/>
              <c:showVal val="0"/>
              <c:showCatName val="0"/>
              <c:showSerName val="0"/>
              <c:showPercent val="1"/>
              <c:showBubbleSize val="0"/>
            </c:dLbl>
            <c:dLbl>
              <c:idx val="9"/>
              <c:layout>
                <c:manualLayout>
                  <c:x val="-3.2327414472252E-2"/>
                  <c:y val="-1.0621836827358606E-2"/>
                </c:manualLayout>
              </c:layout>
              <c:showLegendKey val="0"/>
              <c:showVal val="0"/>
              <c:showCatName val="0"/>
              <c:showSerName val="0"/>
              <c:showPercent val="1"/>
              <c:showBubbleSize val="0"/>
            </c:dLbl>
            <c:dLbl>
              <c:idx val="10"/>
              <c:layout>
                <c:manualLayout>
                  <c:x val="-8.2087743726869847E-2"/>
                  <c:y val="9.9035239642663708E-4"/>
                </c:manualLayout>
              </c:layout>
              <c:showLegendKey val="0"/>
              <c:showVal val="0"/>
              <c:showCatName val="0"/>
              <c:showSerName val="0"/>
              <c:showPercent val="1"/>
              <c:showBubbleSize val="0"/>
            </c:dLbl>
            <c:dLbl>
              <c:idx val="11"/>
              <c:layout>
                <c:manualLayout>
                  <c:x val="-3.2472490234495333E-2"/>
                  <c:y val="-4.5624058897399733E-2"/>
                </c:manualLayout>
              </c:layout>
              <c:showLegendKey val="0"/>
              <c:showVal val="0"/>
              <c:showCatName val="0"/>
              <c:showSerName val="0"/>
              <c:showPercent val="1"/>
              <c:showBubbleSize val="0"/>
            </c:dLbl>
            <c:dLbl>
              <c:idx val="12"/>
              <c:layout>
                <c:manualLayout>
                  <c:x val="1.7926632410385359E-2"/>
                  <c:y val="-6.3040215211193837E-2"/>
                </c:manualLayout>
              </c:layout>
              <c:showLegendKey val="0"/>
              <c:showVal val="0"/>
              <c:showCatName val="0"/>
              <c:showSerName val="0"/>
              <c:showPercent val="1"/>
              <c:showBubbleSize val="0"/>
            </c:dLbl>
            <c:dLbl>
              <c:idx val="13"/>
              <c:layout>
                <c:manualLayout>
                  <c:x val="8.69008744798919E-3"/>
                  <c:y val="-3.8180227471566054E-2"/>
                </c:manualLayout>
              </c:layout>
              <c:showLegendKey val="0"/>
              <c:showVal val="0"/>
              <c:showCatName val="0"/>
              <c:showSerName val="0"/>
              <c:showPercent val="1"/>
              <c:showBubbleSize val="0"/>
            </c:dLbl>
            <c:numFmt formatCode="0.0%" sourceLinked="0"/>
            <c:txPr>
              <a:bodyPr/>
              <a:lstStyle/>
              <a:p>
                <a:pPr>
                  <a:defRPr sz="1200" b="1" i="0" baseline="0">
                    <a:latin typeface="Times New Roman" pitchFamily="18" charset="0"/>
                  </a:defRPr>
                </a:pPr>
                <a:endParaRPr lang="ru-RU"/>
              </a:p>
            </c:txPr>
            <c:showLegendKey val="0"/>
            <c:showVal val="0"/>
            <c:showCatName val="0"/>
            <c:showSerName val="0"/>
            <c:showPercent val="1"/>
            <c:showBubbleSize val="0"/>
            <c:showLeaderLines val="1"/>
          </c:dLbls>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Лист1!$A$2:$N$2</c:f>
              <c:numCache>
                <c:formatCode>General</c:formatCode>
                <c:ptCount val="14"/>
                <c:pt idx="0">
                  <c:v>1361.5</c:v>
                </c:pt>
                <c:pt idx="1">
                  <c:v>27</c:v>
                </c:pt>
                <c:pt idx="2">
                  <c:v>1105.8</c:v>
                </c:pt>
                <c:pt idx="3">
                  <c:v>17763.7</c:v>
                </c:pt>
                <c:pt idx="4">
                  <c:v>7903.3</c:v>
                </c:pt>
                <c:pt idx="5">
                  <c:v>75.3</c:v>
                </c:pt>
                <c:pt idx="6">
                  <c:v>9762.2000000000007</c:v>
                </c:pt>
                <c:pt idx="7">
                  <c:v>444.9</c:v>
                </c:pt>
                <c:pt idx="8">
                  <c:v>8463.7000000000007</c:v>
                </c:pt>
                <c:pt idx="9">
                  <c:v>17511.5</c:v>
                </c:pt>
                <c:pt idx="10">
                  <c:v>391.5</c:v>
                </c:pt>
                <c:pt idx="11">
                  <c:v>97.7</c:v>
                </c:pt>
                <c:pt idx="12">
                  <c:v>1089.2</c:v>
                </c:pt>
                <c:pt idx="13">
                  <c:v>5668.7</c:v>
                </c:pt>
              </c:numCache>
            </c:numRef>
          </c:val>
        </c:ser>
        <c:ser>
          <c:idx val="1"/>
          <c:order val="1"/>
          <c:tx>
            <c:strRef>
              <c:f>Лист1!$C$1</c:f>
              <c:strCache>
                <c:ptCount val="1"/>
                <c:pt idx="0">
                  <c:v>Национальная безопасность</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Лист1!$C$2</c:f>
              <c:numCache>
                <c:formatCode>General</c:formatCode>
                <c:ptCount val="1"/>
                <c:pt idx="0">
                  <c:v>1105.8</c:v>
                </c:pt>
              </c:numCache>
            </c:numRef>
          </c:val>
        </c:ser>
        <c:ser>
          <c:idx val="2"/>
          <c:order val="2"/>
          <c:tx>
            <c:strRef>
              <c:f>Лист1!$D$1</c:f>
              <c:strCache>
                <c:ptCount val="1"/>
                <c:pt idx="0">
                  <c:v>Национальная экономика</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Лист1!$D$2</c:f>
              <c:numCache>
                <c:formatCode>General</c:formatCode>
                <c:ptCount val="1"/>
                <c:pt idx="0">
                  <c:v>17763.7</c:v>
                </c:pt>
              </c:numCache>
            </c:numRef>
          </c:val>
        </c:ser>
        <c:ser>
          <c:idx val="3"/>
          <c:order val="3"/>
          <c:tx>
            <c:strRef>
              <c:f>Лист1!$E$1</c:f>
              <c:strCache>
                <c:ptCount val="1"/>
                <c:pt idx="0">
                  <c:v>ЖКХ</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Лист1!$E$2</c:f>
              <c:numCache>
                <c:formatCode>General</c:formatCode>
                <c:ptCount val="1"/>
                <c:pt idx="0">
                  <c:v>7903.3</c:v>
                </c:pt>
              </c:numCache>
            </c:numRef>
          </c:val>
        </c:ser>
        <c:ser>
          <c:idx val="4"/>
          <c:order val="4"/>
          <c:tx>
            <c:strRef>
              <c:f>Лист1!$F$1</c:f>
              <c:strCache>
                <c:ptCount val="1"/>
                <c:pt idx="0">
                  <c:v>Охрана окружающей среды</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Лист1!$F$2</c:f>
              <c:numCache>
                <c:formatCode>General</c:formatCode>
                <c:ptCount val="1"/>
                <c:pt idx="0">
                  <c:v>75.3</c:v>
                </c:pt>
              </c:numCache>
            </c:numRef>
          </c:val>
        </c:ser>
        <c:ser>
          <c:idx val="5"/>
          <c:order val="5"/>
          <c:tx>
            <c:strRef>
              <c:f>Лист1!$G$1</c:f>
              <c:strCache>
                <c:ptCount val="1"/>
                <c:pt idx="0">
                  <c:v>Образование</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Лист1!$G$2</c:f>
              <c:numCache>
                <c:formatCode>General</c:formatCode>
                <c:ptCount val="1"/>
                <c:pt idx="0">
                  <c:v>9762.2000000000007</c:v>
                </c:pt>
              </c:numCache>
            </c:numRef>
          </c:val>
        </c:ser>
        <c:ser>
          <c:idx val="6"/>
          <c:order val="6"/>
          <c:tx>
            <c:strRef>
              <c:f>Лист1!$H$1</c:f>
              <c:strCache>
                <c:ptCount val="1"/>
                <c:pt idx="0">
                  <c:v>Культура, кинематография</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Лист1!$H$2</c:f>
              <c:numCache>
                <c:formatCode>General</c:formatCode>
                <c:ptCount val="1"/>
                <c:pt idx="0">
                  <c:v>444.9</c:v>
                </c:pt>
              </c:numCache>
            </c:numRef>
          </c:val>
        </c:ser>
        <c:ser>
          <c:idx val="7"/>
          <c:order val="7"/>
          <c:tx>
            <c:strRef>
              <c:f>Лист1!$I$1</c:f>
              <c:strCache>
                <c:ptCount val="1"/>
                <c:pt idx="0">
                  <c:v>Здравоохранение</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Лист1!$I$2</c:f>
              <c:numCache>
                <c:formatCode>General</c:formatCode>
                <c:ptCount val="1"/>
                <c:pt idx="0">
                  <c:v>8463.7000000000007</c:v>
                </c:pt>
              </c:numCache>
            </c:numRef>
          </c:val>
        </c:ser>
        <c:ser>
          <c:idx val="8"/>
          <c:order val="8"/>
          <c:tx>
            <c:strRef>
              <c:f>Лист1!$J$1</c:f>
              <c:strCache>
                <c:ptCount val="1"/>
                <c:pt idx="0">
                  <c:v>Социальная политика</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Лист1!$J$2</c:f>
              <c:numCache>
                <c:formatCode>General</c:formatCode>
                <c:ptCount val="1"/>
                <c:pt idx="0">
                  <c:v>17511.5</c:v>
                </c:pt>
              </c:numCache>
            </c:numRef>
          </c:val>
        </c:ser>
        <c:ser>
          <c:idx val="9"/>
          <c:order val="9"/>
          <c:tx>
            <c:strRef>
              <c:f>Лист1!$K$1</c:f>
              <c:strCache>
                <c:ptCount val="1"/>
                <c:pt idx="0">
                  <c:v>Физическая культура и спорт</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Лист1!$K$2</c:f>
              <c:numCache>
                <c:formatCode>General</c:formatCode>
                <c:ptCount val="1"/>
                <c:pt idx="0">
                  <c:v>391.5</c:v>
                </c:pt>
              </c:numCache>
            </c:numRef>
          </c:val>
        </c:ser>
        <c:ser>
          <c:idx val="10"/>
          <c:order val="10"/>
          <c:tx>
            <c:strRef>
              <c:f>Лист1!$L$1</c:f>
              <c:strCache>
                <c:ptCount val="1"/>
                <c:pt idx="0">
                  <c:v>Средства массовой информации</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Лист1!$L$2</c:f>
              <c:numCache>
                <c:formatCode>General</c:formatCode>
                <c:ptCount val="1"/>
                <c:pt idx="0">
                  <c:v>97.7</c:v>
                </c:pt>
              </c:numCache>
            </c:numRef>
          </c:val>
        </c:ser>
        <c:ser>
          <c:idx val="11"/>
          <c:order val="11"/>
          <c:tx>
            <c:strRef>
              <c:f>Лист1!$M$1</c:f>
              <c:strCache>
                <c:ptCount val="1"/>
                <c:pt idx="0">
                  <c:v>Обслуживание гос.долга</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Лист1!$M$2</c:f>
              <c:numCache>
                <c:formatCode>General</c:formatCode>
                <c:ptCount val="1"/>
                <c:pt idx="0">
                  <c:v>1089.2</c:v>
                </c:pt>
              </c:numCache>
            </c:numRef>
          </c:val>
        </c:ser>
        <c:ser>
          <c:idx val="12"/>
          <c:order val="12"/>
          <c:tx>
            <c:strRef>
              <c:f>Лист1!$N$1</c:f>
              <c:strCache>
                <c:ptCount val="1"/>
                <c:pt idx="0">
                  <c:v>Межбюджетные трансферты</c:v>
                </c:pt>
              </c:strCache>
            </c:strRef>
          </c:tx>
          <c:explosion val="25"/>
          <c:cat>
            <c:strRef>
              <c:f>Лист1!$A$1:$O$1</c:f>
              <c:strCache>
                <c:ptCount val="14"/>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гос.долга</c:v>
                </c:pt>
                <c:pt idx="13">
                  <c:v>Межбюджетные трансферты</c:v>
                </c:pt>
              </c:strCache>
            </c:strRef>
          </c:cat>
          <c:val>
            <c:numRef>
              <c:f>Лист1!$N$2</c:f>
              <c:numCache>
                <c:formatCode>General</c:formatCode>
                <c:ptCount val="1"/>
                <c:pt idx="0">
                  <c:v>5668.7</c:v>
                </c:pt>
              </c:numCache>
            </c:numRef>
          </c:val>
        </c:ser>
        <c:dLbls>
          <c:showLegendKey val="0"/>
          <c:showVal val="0"/>
          <c:showCatName val="0"/>
          <c:showSerName val="0"/>
          <c:showPercent val="0"/>
          <c:showBubbleSize val="0"/>
          <c:showLeaderLines val="1"/>
        </c:dLbls>
      </c:pie3DChart>
      <c:spPr>
        <a:pattFill prst="diagBrick">
          <a:fgClr>
            <a:schemeClr val="accent5">
              <a:lumMod val="20000"/>
              <a:lumOff val="80000"/>
            </a:schemeClr>
          </a:fgClr>
          <a:bgClr>
            <a:schemeClr val="bg1"/>
          </a:bgClr>
        </a:pattFill>
        <a:ln>
          <a:noFill/>
        </a:ln>
      </c:spPr>
    </c:plotArea>
    <c:legend>
      <c:legendPos val="b"/>
      <c:layout>
        <c:manualLayout>
          <c:xMode val="edge"/>
          <c:yMode val="edge"/>
          <c:x val="6.5186170977454105E-2"/>
          <c:y val="0.69936924551097779"/>
          <c:w val="0.91970574100772617"/>
          <c:h val="0.30063082243474931"/>
        </c:manualLayout>
      </c:layout>
      <c:overlay val="0"/>
      <c:txPr>
        <a:bodyPr/>
        <a:lstStyle/>
        <a:p>
          <a:pPr rtl="0">
            <a:defRPr sz="1050" b="1" i="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1397565461797605E-2"/>
          <c:y val="0.18906351937795854"/>
          <c:w val="0.82880591894517119"/>
          <c:h val="0.81024676551192687"/>
        </c:manualLayout>
      </c:layout>
      <c:pie3DChart>
        <c:varyColors val="1"/>
        <c:ser>
          <c:idx val="0"/>
          <c:order val="0"/>
          <c:tx>
            <c:strRef>
              <c:f>Лист1!$B$1</c:f>
              <c:strCache>
                <c:ptCount val="1"/>
                <c:pt idx="0">
                  <c:v>2012</c:v>
                </c:pt>
              </c:strCache>
            </c:strRef>
          </c:tx>
          <c:spPr>
            <a:solidFill>
              <a:schemeClr val="accent1"/>
            </a:solidFill>
            <a:ln w="15875">
              <a:solidFill>
                <a:sysClr val="windowText" lastClr="000000"/>
              </a:solidFill>
            </a:ln>
          </c:spPr>
          <c:dPt>
            <c:idx val="0"/>
            <c:bubble3D val="0"/>
            <c:spPr>
              <a:gradFill>
                <a:gsLst>
                  <a:gs pos="0">
                    <a:srgbClr val="00B050"/>
                  </a:gs>
                  <a:gs pos="25000">
                    <a:srgbClr val="00B050"/>
                  </a:gs>
                  <a:gs pos="75000">
                    <a:srgbClr val="00B050">
                      <a:lumMod val="84000"/>
                      <a:lumOff val="16000"/>
                    </a:srgbClr>
                  </a:gs>
                  <a:gs pos="100000">
                    <a:srgbClr val="92D050">
                      <a:lumMod val="67000"/>
                    </a:srgbClr>
                  </a:gs>
                </a:gsLst>
                <a:lin ang="12000000" scaled="0"/>
              </a:gradFill>
              <a:ln w="15875">
                <a:solidFill>
                  <a:sysClr val="windowText" lastClr="000000"/>
                </a:solidFill>
              </a:ln>
            </c:spPr>
          </c:dPt>
          <c:dPt>
            <c:idx val="1"/>
            <c:bubble3D val="0"/>
            <c:spPr>
              <a:gradFill>
                <a:gsLst>
                  <a:gs pos="0">
                    <a:srgbClr val="FFF200"/>
                  </a:gs>
                  <a:gs pos="45000">
                    <a:srgbClr val="FF7A00"/>
                  </a:gs>
                  <a:gs pos="70000">
                    <a:srgbClr val="FF0300"/>
                  </a:gs>
                  <a:gs pos="100000">
                    <a:srgbClr val="4D0808"/>
                  </a:gs>
                </a:gsLst>
                <a:lin ang="5400000" scaled="0"/>
              </a:gradFill>
              <a:ln w="15875">
                <a:solidFill>
                  <a:sysClr val="windowText" lastClr="000000"/>
                </a:solidFill>
              </a:ln>
            </c:spPr>
          </c:dPt>
          <c:dPt>
            <c:idx val="2"/>
            <c:bubble3D val="0"/>
            <c:spPr>
              <a:solidFill>
                <a:sysClr val="windowText" lastClr="000000"/>
              </a:solidFill>
              <a:ln w="15875">
                <a:solidFill>
                  <a:sysClr val="windowText" lastClr="000000"/>
                </a:solidFill>
              </a:ln>
            </c:spPr>
          </c:dPt>
          <c:dPt>
            <c:idx val="3"/>
            <c:bubble3D val="0"/>
            <c:spPr>
              <a:gradFill>
                <a:gsLst>
                  <a:gs pos="0">
                    <a:srgbClr val="5E9EFF"/>
                  </a:gs>
                  <a:gs pos="39999">
                    <a:srgbClr val="85C2FF"/>
                  </a:gs>
                  <a:gs pos="70000">
                    <a:srgbClr val="C4D6EB"/>
                  </a:gs>
                  <a:gs pos="100000">
                    <a:srgbClr val="FFEBFA"/>
                  </a:gs>
                </a:gsLst>
                <a:lin ang="12000000" scaled="0"/>
              </a:gradFill>
              <a:ln w="15875">
                <a:solidFill>
                  <a:sysClr val="windowText" lastClr="000000"/>
                </a:solidFill>
              </a:ln>
            </c:spPr>
          </c:dPt>
          <c:dPt>
            <c:idx val="4"/>
            <c:bubble3D val="0"/>
            <c:spPr>
              <a:solidFill>
                <a:srgbClr val="FFFF00"/>
              </a:solidFill>
              <a:ln w="15875">
                <a:solidFill>
                  <a:sysClr val="windowText" lastClr="000000"/>
                </a:solidFill>
              </a:ln>
            </c:spPr>
          </c:dPt>
          <c:dPt>
            <c:idx val="6"/>
            <c:bubble3D val="0"/>
            <c:spPr>
              <a:solidFill>
                <a:srgbClr val="FF0000"/>
              </a:solidFill>
              <a:ln w="15875">
                <a:solidFill>
                  <a:sysClr val="windowText" lastClr="000000"/>
                </a:solidFill>
              </a:ln>
            </c:spPr>
          </c:dPt>
          <c:dLbls>
            <c:dLbl>
              <c:idx val="0"/>
              <c:layout>
                <c:manualLayout>
                  <c:x val="-0.26070605741211483"/>
                  <c:y val="-8.2768594323060607E-2"/>
                </c:manualLayout>
              </c:layout>
              <c:dLblPos val="bestFit"/>
              <c:showLegendKey val="1"/>
              <c:showVal val="0"/>
              <c:showCatName val="1"/>
              <c:showSerName val="0"/>
              <c:showPercent val="1"/>
              <c:showBubbleSize val="0"/>
            </c:dLbl>
            <c:dLbl>
              <c:idx val="1"/>
              <c:layout>
                <c:manualLayout>
                  <c:x val="-0.18515733564800463"/>
                  <c:y val="-0.17617470001680255"/>
                </c:manualLayout>
              </c:layout>
              <c:dLblPos val="bestFit"/>
              <c:showLegendKey val="1"/>
              <c:showVal val="0"/>
              <c:showCatName val="1"/>
              <c:showSerName val="0"/>
              <c:showPercent val="1"/>
              <c:showBubbleSize val="0"/>
            </c:dLbl>
            <c:dLbl>
              <c:idx val="2"/>
              <c:layout>
                <c:manualLayout>
                  <c:x val="0"/>
                  <c:y val="-0.20172359249795763"/>
                </c:manualLayout>
              </c:layout>
              <c:dLblPos val="bestFit"/>
              <c:showLegendKey val="1"/>
              <c:showVal val="0"/>
              <c:showCatName val="1"/>
              <c:showSerName val="0"/>
              <c:showPercent val="1"/>
              <c:showBubbleSize val="0"/>
            </c:dLbl>
            <c:dLbl>
              <c:idx val="3"/>
              <c:layout>
                <c:manualLayout>
                  <c:x val="-2.7296587926509186E-2"/>
                  <c:y val="0.27455968666168384"/>
                </c:manualLayout>
              </c:layout>
              <c:dLblPos val="bestFit"/>
              <c:showLegendKey val="1"/>
              <c:showVal val="0"/>
              <c:showCatName val="1"/>
              <c:showSerName val="0"/>
              <c:showPercent val="1"/>
              <c:showBubbleSize val="0"/>
            </c:dLbl>
            <c:dLbl>
              <c:idx val="4"/>
              <c:layout>
                <c:manualLayout>
                  <c:x val="-0.13364601517833527"/>
                  <c:y val="-2.0820629744514258E-4"/>
                </c:manualLayout>
              </c:layout>
              <c:dLblPos val="bestFit"/>
              <c:showLegendKey val="1"/>
              <c:showVal val="0"/>
              <c:showCatName val="1"/>
              <c:showSerName val="0"/>
              <c:showPercent val="1"/>
              <c:showBubbleSize val="0"/>
            </c:dLbl>
            <c:dLbl>
              <c:idx val="5"/>
              <c:layout>
                <c:manualLayout>
                  <c:x val="-0.18240289731225456"/>
                  <c:y val="0.12559046280831057"/>
                </c:manualLayout>
              </c:layout>
              <c:showLegendKey val="1"/>
              <c:showVal val="0"/>
              <c:showCatName val="1"/>
              <c:showSerName val="0"/>
              <c:showPercent val="1"/>
              <c:showBubbleSize val="0"/>
            </c:dLbl>
            <c:dLbl>
              <c:idx val="6"/>
              <c:layout>
                <c:manualLayout>
                  <c:x val="-0.27178026002563632"/>
                  <c:y val="-7.4502505368647096E-2"/>
                </c:manualLayout>
              </c:layout>
              <c:showLegendKey val="1"/>
              <c:showVal val="0"/>
              <c:showCatName val="1"/>
              <c:showSerName val="0"/>
              <c:showPercent val="1"/>
              <c:showBubbleSize val="0"/>
            </c:dLbl>
            <c:numFmt formatCode="0.0%" sourceLinked="0"/>
            <c:txPr>
              <a:bodyPr/>
              <a:lstStyle/>
              <a:p>
                <a:pPr>
                  <a:defRPr sz="1000" b="1"/>
                </a:pPr>
                <a:endParaRPr lang="ru-RU"/>
              </a:p>
            </c:txPr>
            <c:showLegendKey val="1"/>
            <c:showVal val="0"/>
            <c:showCatName val="1"/>
            <c:showSerName val="0"/>
            <c:showPercent val="1"/>
            <c:showBubbleSize val="0"/>
            <c:showLeaderLines val="1"/>
          </c:dLbls>
          <c:cat>
            <c:strRef>
              <c:f>Лист1!$A$2:$A$8</c:f>
              <c:strCache>
                <c:ptCount val="7"/>
                <c:pt idx="0">
                  <c:v>Доходы от уплаты акцизов на диз. топливо</c:v>
                </c:pt>
                <c:pt idx="1">
                  <c:v>Доходы от уплаты акцизов на автомобильный бензин, производимый на территории РФ</c:v>
                </c:pt>
                <c:pt idx="2">
                  <c:v>Доходы от уплаты акцизов на прямогонный бензин, производимый на территории РФ</c:v>
                </c:pt>
                <c:pt idx="3">
                  <c:v>Транспортный налог</c:v>
                </c:pt>
                <c:pt idx="4">
                  <c:v>Субсидии бюджетам субъектов на бюджетные инвестиции в объекты кап. строительства</c:v>
                </c:pt>
                <c:pt idx="5">
                  <c:v>Прочие межбюджетные трансферты, передаваемые бюджетам субъектов РФ</c:v>
                </c:pt>
                <c:pt idx="6">
                  <c:v>Прочие</c:v>
                </c:pt>
              </c:strCache>
            </c:strRef>
          </c:cat>
          <c:val>
            <c:numRef>
              <c:f>Лист1!$B$2:$B$8</c:f>
              <c:numCache>
                <c:formatCode>General</c:formatCode>
                <c:ptCount val="7"/>
                <c:pt idx="0">
                  <c:v>10.200000000000001</c:v>
                </c:pt>
                <c:pt idx="1">
                  <c:v>13.3</c:v>
                </c:pt>
                <c:pt idx="2">
                  <c:v>0.60000000000000053</c:v>
                </c:pt>
                <c:pt idx="3">
                  <c:v>7.7</c:v>
                </c:pt>
                <c:pt idx="4">
                  <c:v>53.9</c:v>
                </c:pt>
                <c:pt idx="5">
                  <c:v>14</c:v>
                </c:pt>
                <c:pt idx="6">
                  <c:v>0.70000000000000051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90"/>
      <c:rAngAx val="0"/>
      <c:perspective val="30"/>
    </c:view3D>
    <c:floor>
      <c:thickness val="0"/>
    </c:floor>
    <c:sideWall>
      <c:thickness val="0"/>
    </c:sideWall>
    <c:backWall>
      <c:thickness val="0"/>
    </c:backWall>
    <c:plotArea>
      <c:layout>
        <c:manualLayout>
          <c:layoutTarget val="inner"/>
          <c:xMode val="edge"/>
          <c:yMode val="edge"/>
          <c:x val="1.3378602903994753E-3"/>
          <c:y val="8.3373961816416778E-2"/>
          <c:w val="0.83014792875661181"/>
          <c:h val="0.81759649906775356"/>
        </c:manualLayout>
      </c:layout>
      <c:pie3DChart>
        <c:varyColors val="1"/>
        <c:ser>
          <c:idx val="0"/>
          <c:order val="0"/>
          <c:tx>
            <c:strRef>
              <c:f>Лист1!$B$1</c:f>
              <c:strCache>
                <c:ptCount val="1"/>
                <c:pt idx="0">
                  <c:v>2012</c:v>
                </c:pt>
              </c:strCache>
            </c:strRef>
          </c:tx>
          <c:spPr>
            <a:solidFill>
              <a:schemeClr val="accent1"/>
            </a:solidFill>
            <a:ln w="15875">
              <a:solidFill>
                <a:sysClr val="windowText" lastClr="000000"/>
              </a:solidFill>
            </a:ln>
          </c:spPr>
          <c:explosion val="25"/>
          <c:dPt>
            <c:idx val="0"/>
            <c:bubble3D val="0"/>
            <c:spPr>
              <a:gradFill>
                <a:gsLst>
                  <a:gs pos="0">
                    <a:srgbClr val="00B050"/>
                  </a:gs>
                  <a:gs pos="25000">
                    <a:srgbClr val="00B050"/>
                  </a:gs>
                  <a:gs pos="75000">
                    <a:srgbClr val="00B050">
                      <a:lumMod val="84000"/>
                      <a:lumOff val="16000"/>
                    </a:srgbClr>
                  </a:gs>
                  <a:gs pos="100000">
                    <a:srgbClr val="92D050">
                      <a:lumMod val="67000"/>
                    </a:srgbClr>
                  </a:gs>
                </a:gsLst>
                <a:lin ang="12000000" scaled="0"/>
              </a:gradFill>
              <a:ln w="15875">
                <a:solidFill>
                  <a:sysClr val="windowText" lastClr="000000"/>
                </a:solidFill>
              </a:ln>
            </c:spPr>
          </c:dPt>
          <c:dPt>
            <c:idx val="1"/>
            <c:bubble3D val="0"/>
            <c:spPr>
              <a:gradFill>
                <a:gsLst>
                  <a:gs pos="0">
                    <a:srgbClr val="FFF200"/>
                  </a:gs>
                  <a:gs pos="45000">
                    <a:srgbClr val="FF7A00"/>
                  </a:gs>
                  <a:gs pos="70000">
                    <a:srgbClr val="FF0300"/>
                  </a:gs>
                  <a:gs pos="100000">
                    <a:srgbClr val="4D0808"/>
                  </a:gs>
                </a:gsLst>
                <a:lin ang="5400000" scaled="0"/>
              </a:gradFill>
              <a:ln w="15875">
                <a:solidFill>
                  <a:sysClr val="windowText" lastClr="000000"/>
                </a:solidFill>
              </a:ln>
            </c:spPr>
          </c:dPt>
          <c:dPt>
            <c:idx val="2"/>
            <c:bubble3D val="0"/>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a:ln w="15875">
                <a:solidFill>
                  <a:sysClr val="windowText" lastClr="000000"/>
                </a:solidFill>
              </a:ln>
            </c:spPr>
          </c:dPt>
          <c:dPt>
            <c:idx val="3"/>
            <c:bubble3D val="0"/>
            <c:spPr>
              <a:gradFill>
                <a:gsLst>
                  <a:gs pos="0">
                    <a:srgbClr val="5E9EFF"/>
                  </a:gs>
                  <a:gs pos="39999">
                    <a:srgbClr val="85C2FF"/>
                  </a:gs>
                  <a:gs pos="70000">
                    <a:srgbClr val="C4D6EB"/>
                  </a:gs>
                  <a:gs pos="100000">
                    <a:srgbClr val="FFEBFA"/>
                  </a:gs>
                </a:gsLst>
                <a:lin ang="12000000" scaled="0"/>
              </a:gradFill>
              <a:ln w="15875">
                <a:solidFill>
                  <a:sysClr val="windowText" lastClr="000000"/>
                </a:solidFill>
              </a:ln>
            </c:spPr>
          </c:dPt>
          <c:dLbls>
            <c:dLbl>
              <c:idx val="0"/>
              <c:layout>
                <c:manualLayout>
                  <c:x val="-6.1162240041095779E-2"/>
                  <c:y val="0.16753398975812955"/>
                </c:manualLayout>
              </c:layout>
              <c:dLblPos val="bestFit"/>
              <c:showLegendKey val="1"/>
              <c:showVal val="0"/>
              <c:showCatName val="1"/>
              <c:showSerName val="0"/>
              <c:showPercent val="1"/>
              <c:showBubbleSize val="0"/>
            </c:dLbl>
            <c:dLbl>
              <c:idx val="1"/>
              <c:layout>
                <c:manualLayout>
                  <c:x val="-2.5722587428864969E-2"/>
                  <c:y val="5.2395642325531226E-2"/>
                </c:manualLayout>
              </c:layout>
              <c:dLblPos val="bestFit"/>
              <c:showLegendKey val="1"/>
              <c:showVal val="0"/>
              <c:showCatName val="1"/>
              <c:showSerName val="0"/>
              <c:showPercent val="1"/>
              <c:showBubbleSize val="0"/>
            </c:dLbl>
            <c:dLbl>
              <c:idx val="2"/>
              <c:layout>
                <c:manualLayout>
                  <c:x val="5.034570220006903E-2"/>
                  <c:y val="-9.9455239327960715E-2"/>
                </c:manualLayout>
              </c:layout>
              <c:dLblPos val="bestFit"/>
              <c:showLegendKey val="1"/>
              <c:showVal val="0"/>
              <c:showCatName val="1"/>
              <c:showSerName val="0"/>
              <c:showPercent val="1"/>
              <c:showBubbleSize val="0"/>
            </c:dLbl>
            <c:dLbl>
              <c:idx val="3"/>
              <c:layout>
                <c:manualLayout>
                  <c:x val="-0.14376251133745896"/>
                  <c:y val="-0.14444612231690215"/>
                </c:manualLayout>
              </c:layout>
              <c:dLblPos val="bestFit"/>
              <c:showLegendKey val="1"/>
              <c:showVal val="0"/>
              <c:showCatName val="1"/>
              <c:showSerName val="0"/>
              <c:showPercent val="1"/>
              <c:showBubbleSize val="0"/>
            </c:dLbl>
            <c:dLbl>
              <c:idx val="4"/>
              <c:layout>
                <c:manualLayout>
                  <c:x val="0"/>
                  <c:y val="-2.7294738842576161E-2"/>
                </c:manualLayout>
              </c:layout>
              <c:dLblPos val="bestFit"/>
              <c:showLegendKey val="1"/>
              <c:showVal val="0"/>
              <c:showCatName val="1"/>
              <c:showSerName val="0"/>
              <c:showPercent val="1"/>
              <c:showBubbleSize val="0"/>
            </c:dLbl>
            <c:numFmt formatCode="0.0%" sourceLinked="0"/>
            <c:txPr>
              <a:bodyPr/>
              <a:lstStyle/>
              <a:p>
                <a:pPr>
                  <a:defRPr sz="1000" b="1"/>
                </a:pPr>
                <a:endParaRPr lang="ru-RU"/>
              </a:p>
            </c:txPr>
            <c:showLegendKey val="1"/>
            <c:showVal val="0"/>
            <c:showCatName val="1"/>
            <c:showSerName val="0"/>
            <c:showPercent val="1"/>
            <c:showBubbleSize val="0"/>
            <c:showLeaderLines val="1"/>
          </c:dLbls>
          <c:cat>
            <c:strRef>
              <c:f>Лист1!$A$2:$A$6</c:f>
              <c:strCache>
                <c:ptCount val="5"/>
                <c:pt idx="0">
                  <c:v>Расходы на содержание, ремонт и приведение в нормативное состояние автомобильных дорог регионального значения</c:v>
                </c:pt>
                <c:pt idx="1">
                  <c:v>Расходы на реализацию долгосрочной целевой программы </c:v>
                </c:pt>
                <c:pt idx="2">
                  <c:v>Расходы на финансирование мероприятий федеральных целевых программ</c:v>
                </c:pt>
                <c:pt idx="3">
                  <c:v>Расходы за счет средств Резервного фонда Правительства РФ</c:v>
                </c:pt>
                <c:pt idx="4">
                  <c:v>Расходы на содержание учреждения, осуществляющего управление автомобильными дорогами регионального значения</c:v>
                </c:pt>
              </c:strCache>
            </c:strRef>
          </c:cat>
          <c:val>
            <c:numRef>
              <c:f>Лист1!$B$2:$B$6</c:f>
              <c:numCache>
                <c:formatCode>General</c:formatCode>
                <c:ptCount val="5"/>
                <c:pt idx="0">
                  <c:v>17.8</c:v>
                </c:pt>
                <c:pt idx="1">
                  <c:v>24.4</c:v>
                </c:pt>
                <c:pt idx="2">
                  <c:v>40.200000000000003</c:v>
                </c:pt>
                <c:pt idx="3">
                  <c:v>16.399999999999999</c:v>
                </c:pt>
                <c:pt idx="4">
                  <c:v>1.2</c:v>
                </c:pt>
              </c:numCache>
            </c:numRef>
          </c:val>
        </c:ser>
        <c:dLbls>
          <c:showLegendKey val="0"/>
          <c:showVal val="0"/>
          <c:showCatName val="0"/>
          <c:showSerName val="0"/>
          <c:showPercent val="0"/>
          <c:showBubbleSize val="0"/>
          <c:showLeaderLines val="1"/>
        </c:dLbls>
      </c:pie3DChart>
      <c:spPr>
        <a:noFill/>
        <a:ln w="25401">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rAngAx val="0"/>
      <c:perspective val="30"/>
    </c:view3D>
    <c:floor>
      <c:thickness val="0"/>
    </c:floor>
    <c:sideWall>
      <c:thickness val="0"/>
    </c:sideWall>
    <c:backWall>
      <c:thickness val="0"/>
    </c:backWall>
    <c:plotArea>
      <c:layout>
        <c:manualLayout>
          <c:layoutTarget val="inner"/>
          <c:xMode val="edge"/>
          <c:yMode val="edge"/>
          <c:x val="3.1250981087171184E-2"/>
          <c:y val="0.30318061023622045"/>
          <c:w val="0.91305564304461961"/>
          <c:h val="0.53616428877848954"/>
        </c:manualLayout>
      </c:layout>
      <c:pie3DChart>
        <c:varyColors val="1"/>
        <c:ser>
          <c:idx val="0"/>
          <c:order val="0"/>
          <c:tx>
            <c:strRef>
              <c:f>Лист1!$B$1</c:f>
              <c:strCache>
                <c:ptCount val="1"/>
                <c:pt idx="0">
                  <c:v>Столбец1</c:v>
                </c:pt>
              </c:strCache>
            </c:strRef>
          </c:tx>
          <c:spPr>
            <a:ln w="19050">
              <a:solidFill>
                <a:sysClr val="windowText" lastClr="000000"/>
              </a:solidFill>
            </a:ln>
          </c:spPr>
          <c:explosion val="25"/>
          <c:dPt>
            <c:idx val="0"/>
            <c:bubble3D val="0"/>
            <c:explosion val="13"/>
            <c:spPr>
              <a:solidFill>
                <a:srgbClr val="92D050"/>
              </a:solidFill>
              <a:ln w="19050">
                <a:solidFill>
                  <a:sysClr val="windowText" lastClr="000000"/>
                </a:solidFill>
              </a:ln>
            </c:spPr>
          </c:dPt>
          <c:dPt>
            <c:idx val="1"/>
            <c:bubble3D val="0"/>
            <c:spPr>
              <a:solidFill>
                <a:srgbClr val="00B0F0"/>
              </a:solidFill>
              <a:ln w="19050">
                <a:solidFill>
                  <a:sysClr val="windowText" lastClr="000000"/>
                </a:solidFill>
              </a:ln>
            </c:spPr>
          </c:dPt>
          <c:dPt>
            <c:idx val="2"/>
            <c:bubble3D val="0"/>
            <c:spPr>
              <a:solidFill>
                <a:srgbClr val="7030A0"/>
              </a:solidFill>
              <a:ln w="19050">
                <a:solidFill>
                  <a:sysClr val="windowText" lastClr="000000"/>
                </a:solidFill>
              </a:ln>
            </c:spPr>
          </c:dPt>
          <c:dPt>
            <c:idx val="3"/>
            <c:bubble3D val="0"/>
            <c:spPr>
              <a:solidFill>
                <a:srgbClr val="FFFF00"/>
              </a:solidFill>
              <a:ln w="19050">
                <a:solidFill>
                  <a:sysClr val="windowText" lastClr="000000"/>
                </a:solidFill>
              </a:ln>
            </c:spPr>
          </c:dPt>
          <c:dPt>
            <c:idx val="4"/>
            <c:bubble3D val="0"/>
            <c:spPr>
              <a:solidFill>
                <a:srgbClr val="0070C0"/>
              </a:solidFill>
              <a:ln w="19050">
                <a:solidFill>
                  <a:sysClr val="windowText" lastClr="000000"/>
                </a:solidFill>
              </a:ln>
            </c:spPr>
          </c:dPt>
          <c:dPt>
            <c:idx val="5"/>
            <c:bubble3D val="0"/>
            <c:spPr>
              <a:solidFill>
                <a:srgbClr val="FF0000"/>
              </a:solidFill>
              <a:ln w="19050">
                <a:solidFill>
                  <a:sysClr val="windowText" lastClr="000000"/>
                </a:solidFill>
              </a:ln>
            </c:spPr>
          </c:dPt>
          <c:dLbls>
            <c:dLbl>
              <c:idx val="0"/>
              <c:layout>
                <c:manualLayout>
                  <c:x val="-0.16124031007751938"/>
                  <c:y val="0.26041666666666669"/>
                </c:manualLayout>
              </c:layout>
              <c:dLblPos val="bestFit"/>
              <c:showLegendKey val="0"/>
              <c:showVal val="1"/>
              <c:showCatName val="1"/>
              <c:showSerName val="0"/>
              <c:showPercent val="0"/>
              <c:showBubbleSize val="0"/>
            </c:dLbl>
            <c:dLbl>
              <c:idx val="1"/>
              <c:layout>
                <c:manualLayout>
                  <c:x val="1.3965696148446558E-4"/>
                  <c:y val="7.1299212598425199E-2"/>
                </c:manualLayout>
              </c:layout>
              <c:dLblPos val="bestFit"/>
              <c:showLegendKey val="0"/>
              <c:showVal val="1"/>
              <c:showCatName val="1"/>
              <c:showSerName val="0"/>
              <c:showPercent val="0"/>
              <c:showBubbleSize val="0"/>
            </c:dLbl>
            <c:dLbl>
              <c:idx val="2"/>
              <c:layout>
                <c:manualLayout>
                  <c:x val="0"/>
                  <c:y val="-9.7916666666666666E-2"/>
                </c:manualLayout>
              </c:layout>
              <c:dLblPos val="bestFit"/>
              <c:showLegendKey val="0"/>
              <c:showVal val="1"/>
              <c:showCatName val="1"/>
              <c:showSerName val="0"/>
              <c:showPercent val="0"/>
              <c:showBubbleSize val="0"/>
            </c:dLbl>
            <c:dLbl>
              <c:idx val="3"/>
              <c:layout>
                <c:manualLayout>
                  <c:x val="-6.4308681672025723E-3"/>
                  <c:y val="-0.18333333333333332"/>
                </c:manualLayout>
              </c:layout>
              <c:dLblPos val="bestFit"/>
              <c:showLegendKey val="0"/>
              <c:showVal val="1"/>
              <c:showCatName val="1"/>
              <c:showSerName val="0"/>
              <c:showPercent val="0"/>
              <c:showBubbleSize val="0"/>
            </c:dLbl>
            <c:dLbl>
              <c:idx val="4"/>
              <c:layout>
                <c:manualLayout>
                  <c:x val="0.23794212218649524"/>
                  <c:y val="-0.17083333333333334"/>
                </c:manualLayout>
              </c:layout>
              <c:dLblPos val="bestFit"/>
              <c:showLegendKey val="0"/>
              <c:showVal val="1"/>
              <c:showCatName val="1"/>
              <c:showSerName val="0"/>
              <c:showPercent val="0"/>
              <c:showBubbleSize val="0"/>
            </c:dLbl>
            <c:dLbl>
              <c:idx val="5"/>
              <c:layout>
                <c:manualLayout>
                  <c:x val="0.25723472668810288"/>
                  <c:y val="-2.7083333333333334E-2"/>
                </c:manualLayout>
              </c:layout>
              <c:dLblPos val="bestFit"/>
              <c:showLegendKey val="0"/>
              <c:showVal val="1"/>
              <c:showCatName val="1"/>
              <c:showSerName val="0"/>
              <c:showPercent val="0"/>
              <c:showBubbleSize val="0"/>
            </c:dLbl>
            <c:dLbl>
              <c:idx val="6"/>
              <c:layout>
                <c:manualLayout>
                  <c:x val="0.19721329046087888"/>
                  <c:y val="9.583333333333334E-2"/>
                </c:manualLayout>
              </c:layout>
              <c:dLblPos val="bestFit"/>
              <c:showLegendKey val="0"/>
              <c:showVal val="1"/>
              <c:showCatName val="1"/>
              <c:showSerName val="0"/>
              <c:showPercent val="0"/>
              <c:showBubbleSize val="0"/>
            </c:dLbl>
            <c:numFmt formatCode="#,##0.0" sourceLinked="0"/>
            <c:spPr>
              <a:noFill/>
              <a:ln>
                <a:noFill/>
              </a:ln>
            </c:spPr>
            <c:txPr>
              <a:bodyPr/>
              <a:lstStyle/>
              <a:p>
                <a:pPr>
                  <a:defRPr sz="1000" b="1"/>
                </a:pPr>
                <a:endParaRPr lang="ru-RU"/>
              </a:p>
            </c:txPr>
            <c:dLblPos val="outEnd"/>
            <c:showLegendKey val="0"/>
            <c:showVal val="1"/>
            <c:showCatName val="1"/>
            <c:showSerName val="0"/>
            <c:showPercent val="0"/>
            <c:showBubbleSize val="0"/>
            <c:showLeaderLines val="1"/>
          </c:dLbls>
          <c:cat>
            <c:strRef>
              <c:f>Лист1!$A$2:$A$8</c:f>
              <c:strCache>
                <c:ptCount val="7"/>
                <c:pt idx="0">
                  <c:v>ДЦП "Обеспечение качественным жильем и услугами ЖКХ населения Амурской области на 2012-2015 годы"</c:v>
                </c:pt>
                <c:pt idx="1">
                  <c:v>ДЦП "Развитие сельского хозяйства и регулирование рынков сельскохозяйственной продукции, сырья и продовольствия  Амурской области на 2013-2020 годы"</c:v>
                </c:pt>
                <c:pt idx="2">
                  <c:v>ДЦП "Развитие сети автомобильных дорог общего пользования регионального или межмуниципального значения Амурской области на 2010-2015 годы"</c:v>
                </c:pt>
                <c:pt idx="3">
                  <c:v>ДЦП "Развитие здравоохранения Амурской области на 2012-2014 годы"</c:v>
                </c:pt>
                <c:pt idx="4">
                  <c:v>ДЦП "Развитие образования Амурской области на 2012-2015 годы"</c:v>
                </c:pt>
                <c:pt idx="5">
                  <c:v>ДЦП "Охрана окружающей среды в Амурской области на период до 2016 года"</c:v>
                </c:pt>
                <c:pt idx="6">
                  <c:v>Прочие</c:v>
                </c:pt>
              </c:strCache>
            </c:strRef>
          </c:cat>
          <c:val>
            <c:numRef>
              <c:f>Лист1!$B$2:$B$8</c:f>
              <c:numCache>
                <c:formatCode>General</c:formatCode>
                <c:ptCount val="7"/>
                <c:pt idx="0">
                  <c:v>39.700000000000003</c:v>
                </c:pt>
                <c:pt idx="1">
                  <c:v>26.2</c:v>
                </c:pt>
                <c:pt idx="2">
                  <c:v>18.399999999999999</c:v>
                </c:pt>
                <c:pt idx="3">
                  <c:v>3.6</c:v>
                </c:pt>
                <c:pt idx="4">
                  <c:v>2.1</c:v>
                </c:pt>
                <c:pt idx="5">
                  <c:v>3.1</c:v>
                </c:pt>
                <c:pt idx="6">
                  <c:v>6.9</c:v>
                </c:pt>
              </c:numCache>
            </c:numRef>
          </c:val>
        </c:ser>
        <c:dLbls>
          <c:showLegendKey val="0"/>
          <c:showVal val="1"/>
          <c:showCatName val="0"/>
          <c:showSerName val="0"/>
          <c:showPercent val="0"/>
          <c:showBubbleSize val="0"/>
          <c:showLeaderLines val="1"/>
        </c:dLbls>
      </c:pie3DChart>
      <c:spPr>
        <a:ln>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noFill/>
        </a:ln>
      </c:spPr>
    </c:floor>
    <c:sideWall>
      <c:thickness val="0"/>
      <c:spPr>
        <a:ln>
          <a:noFill/>
        </a:ln>
      </c:spPr>
    </c:sideWall>
    <c:backWall>
      <c:thickness val="0"/>
      <c:spPr>
        <a:ln>
          <a:noFill/>
        </a:ln>
      </c:spPr>
    </c:backWall>
    <c:plotArea>
      <c:layout>
        <c:manualLayout>
          <c:layoutTarget val="inner"/>
          <c:xMode val="edge"/>
          <c:yMode val="edge"/>
          <c:x val="9.7477355389923425E-3"/>
          <c:y val="4.3859649122807015E-2"/>
          <c:w val="0.97480361690693706"/>
          <c:h val="0.84675438596491226"/>
        </c:manualLayout>
      </c:layout>
      <c:bar3DChart>
        <c:barDir val="col"/>
        <c:grouping val="clustered"/>
        <c:varyColors val="0"/>
        <c:ser>
          <c:idx val="0"/>
          <c:order val="0"/>
          <c:tx>
            <c:strRef>
              <c:f>Лист1!$B$1</c:f>
              <c:strCache>
                <c:ptCount val="1"/>
                <c:pt idx="0">
                  <c:v>Столбец1</c:v>
                </c:pt>
              </c:strCache>
            </c:strRef>
          </c:tx>
          <c:spPr>
            <a:gradFill flip="none" rotWithShape="1">
              <a:gsLst>
                <a:gs pos="0">
                  <a:srgbClr val="BB9301"/>
                </a:gs>
                <a:gs pos="50000">
                  <a:srgbClr val="F0DF02"/>
                </a:gs>
                <a:gs pos="100000">
                  <a:srgbClr val="FFFF29"/>
                </a:gs>
              </a:gsLst>
              <a:lin ang="10800000" scaled="1"/>
              <a:tileRect/>
            </a:gradFill>
            <a:effectLst>
              <a:outerShdw blurRad="50800" dist="38100" algn="l" rotWithShape="0">
                <a:prstClr val="black">
                  <a:alpha val="40000"/>
                </a:prstClr>
              </a:outerShdw>
            </a:effectLst>
            <a:scene3d>
              <a:camera prst="orthographicFront"/>
              <a:lightRig rig="threePt" dir="t"/>
            </a:scene3d>
            <a:sp3d prstMaterial="softEdge">
              <a:bevelT w="165100" prst="coolSlant"/>
            </a:sp3d>
          </c:spPr>
          <c:invertIfNegative val="0"/>
          <c:dLbls>
            <c:dLbl>
              <c:idx val="0"/>
              <c:layout>
                <c:manualLayout>
                  <c:x val="2.1760633036597428E-2"/>
                  <c:y val="-3.5087719298245612E-2"/>
                </c:manualLayout>
              </c:layout>
              <c:showLegendKey val="0"/>
              <c:showVal val="1"/>
              <c:showCatName val="0"/>
              <c:showSerName val="0"/>
              <c:showPercent val="0"/>
              <c:showBubbleSize val="0"/>
            </c:dLbl>
            <c:dLbl>
              <c:idx val="1"/>
              <c:layout>
                <c:manualLayout>
                  <c:x val="2.1760633036597428E-2"/>
                  <c:y val="-2.6315789473684209E-2"/>
                </c:manualLayout>
              </c:layout>
              <c:showLegendKey val="0"/>
              <c:showVal val="1"/>
              <c:showCatName val="0"/>
              <c:showSerName val="0"/>
              <c:showPercent val="0"/>
              <c:showBubbleSize val="0"/>
            </c:dLbl>
            <c:dLbl>
              <c:idx val="2"/>
              <c:layout>
                <c:manualLayout>
                  <c:x val="2.1760633036597428E-2"/>
                  <c:y val="-3.0701754385964911E-2"/>
                </c:manualLayout>
              </c:layout>
              <c:showLegendKey val="0"/>
              <c:showVal val="1"/>
              <c:showCatName val="0"/>
              <c:showSerName val="0"/>
              <c:showPercent val="0"/>
              <c:showBubbleSize val="0"/>
            </c:dLbl>
            <c:dLbl>
              <c:idx val="3"/>
              <c:layout>
                <c:manualLayout>
                  <c:x val="2.967359050445104E-2"/>
                  <c:y val="-3.0701754385964911E-2"/>
                </c:manualLayout>
              </c:layout>
              <c:showLegendKey val="0"/>
              <c:showVal val="1"/>
              <c:showCatName val="0"/>
              <c:showSerName val="0"/>
              <c:showPercent val="0"/>
              <c:showBubbleSize val="0"/>
            </c:dLbl>
            <c:dLbl>
              <c:idx val="4"/>
              <c:layout>
                <c:manualLayout>
                  <c:x val="2.1760633036597428E-2"/>
                  <c:y val="-2.1929824561403508E-2"/>
                </c:manualLayout>
              </c:layout>
              <c:showLegendKey val="0"/>
              <c:showVal val="1"/>
              <c:showCatName val="0"/>
              <c:showSerName val="0"/>
              <c:showPercent val="0"/>
              <c:showBubbleSize val="0"/>
            </c:dLbl>
            <c:txPr>
              <a:bodyPr anchor="t" anchorCtr="1"/>
              <a:lstStyle/>
              <a:p>
                <a:pPr>
                  <a:defRPr sz="1200" b="1"/>
                </a:pPr>
                <a:endParaRPr lang="ru-RU"/>
              </a:p>
            </c:txPr>
            <c:showLegendKey val="0"/>
            <c:showVal val="1"/>
            <c:showCatName val="0"/>
            <c:showSerName val="0"/>
            <c:showPercent val="0"/>
            <c:showBubbleSize val="0"/>
            <c:showLeaderLines val="0"/>
          </c:dLbls>
          <c:cat>
            <c:strRef>
              <c:f>Лист1!$A$2:$A$6</c:f>
              <c:strCache>
                <c:ptCount val="5"/>
                <c:pt idx="0">
                  <c:v>2009 год</c:v>
                </c:pt>
                <c:pt idx="1">
                  <c:v>2010 год</c:v>
                </c:pt>
                <c:pt idx="2">
                  <c:v>2011 год</c:v>
                </c:pt>
                <c:pt idx="3">
                  <c:v>2012 год</c:v>
                </c:pt>
                <c:pt idx="4">
                  <c:v>2013 год</c:v>
                </c:pt>
              </c:strCache>
            </c:strRef>
          </c:cat>
          <c:val>
            <c:numRef>
              <c:f>Лист1!$B$2:$B$6</c:f>
              <c:numCache>
                <c:formatCode>General</c:formatCode>
                <c:ptCount val="5"/>
                <c:pt idx="0">
                  <c:v>98.3</c:v>
                </c:pt>
                <c:pt idx="1">
                  <c:v>106</c:v>
                </c:pt>
                <c:pt idx="2">
                  <c:v>108.1</c:v>
                </c:pt>
                <c:pt idx="3">
                  <c:v>97.3</c:v>
                </c:pt>
                <c:pt idx="4">
                  <c:v>98.5</c:v>
                </c:pt>
              </c:numCache>
            </c:numRef>
          </c:val>
        </c:ser>
        <c:dLbls>
          <c:showLegendKey val="0"/>
          <c:showVal val="0"/>
          <c:showCatName val="0"/>
          <c:showSerName val="0"/>
          <c:showPercent val="0"/>
          <c:showBubbleSize val="0"/>
        </c:dLbls>
        <c:gapWidth val="80"/>
        <c:shape val="box"/>
        <c:axId val="251932672"/>
        <c:axId val="251935360"/>
        <c:axId val="0"/>
      </c:bar3DChart>
      <c:catAx>
        <c:axId val="251932672"/>
        <c:scaling>
          <c:orientation val="minMax"/>
        </c:scaling>
        <c:delete val="0"/>
        <c:axPos val="b"/>
        <c:majorTickMark val="out"/>
        <c:minorTickMark val="none"/>
        <c:tickLblPos val="nextTo"/>
        <c:crossAx val="251935360"/>
        <c:crosses val="autoZero"/>
        <c:auto val="1"/>
        <c:lblAlgn val="ctr"/>
        <c:lblOffset val="100"/>
        <c:noMultiLvlLbl val="0"/>
      </c:catAx>
      <c:valAx>
        <c:axId val="251935360"/>
        <c:scaling>
          <c:orientation val="minMax"/>
          <c:min val="90"/>
        </c:scaling>
        <c:delete val="0"/>
        <c:axPos val="l"/>
        <c:majorGridlines>
          <c:spPr>
            <a:ln>
              <a:noFill/>
            </a:ln>
          </c:spPr>
        </c:majorGridlines>
        <c:numFmt formatCode="General" sourceLinked="1"/>
        <c:majorTickMark val="none"/>
        <c:minorTickMark val="none"/>
        <c:tickLblPos val="none"/>
        <c:spPr>
          <a:noFill/>
          <a:ln>
            <a:noFill/>
          </a:ln>
        </c:spPr>
        <c:crossAx val="251932672"/>
        <c:crosses val="autoZero"/>
        <c:crossBetween val="between"/>
        <c:majorUnit val="10"/>
      </c:valAx>
      <c:spPr>
        <a:noFill/>
        <a:ln>
          <a:noFill/>
        </a:ln>
      </c:spPr>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1916552958702124E-2"/>
          <c:y val="3.5567673443804591E-2"/>
          <c:w val="0.91525423728814126"/>
          <c:h val="0.76993865030675368"/>
        </c:manualLayout>
      </c:layout>
      <c:area3DChart>
        <c:grouping val="stacked"/>
        <c:varyColors val="0"/>
        <c:ser>
          <c:idx val="0"/>
          <c:order val="0"/>
          <c:tx>
            <c:strRef>
              <c:f>Sheet1!$A$2</c:f>
              <c:strCache>
                <c:ptCount val="1"/>
                <c:pt idx="0">
                  <c:v>Бюджетные кредиты</c:v>
                </c:pt>
              </c:strCache>
            </c:strRef>
          </c:tx>
          <c:spPr>
            <a:solidFill>
              <a:srgbClr val="92D050"/>
            </a:solidFill>
            <a:ln w="12662">
              <a:solidFill>
                <a:srgbClr val="000000"/>
              </a:solidFill>
              <a:prstDash val="solid"/>
            </a:ln>
          </c:spPr>
          <c:dLbls>
            <c:dLbl>
              <c:idx val="0"/>
              <c:layout>
                <c:manualLayout>
                  <c:x val="5.3156074091692436E-2"/>
                  <c:y val="5.5721393034825914E-2"/>
                </c:manualLayout>
              </c:layout>
              <c:showLegendKey val="0"/>
              <c:showVal val="1"/>
              <c:showCatName val="0"/>
              <c:showSerName val="0"/>
              <c:showPercent val="0"/>
              <c:showBubbleSize val="0"/>
            </c:dLbl>
            <c:dLbl>
              <c:idx val="1"/>
              <c:layout>
                <c:manualLayout>
                  <c:x val="4.8849776130924852E-2"/>
                  <c:y val="5.5721393034825914E-2"/>
                </c:manualLayout>
              </c:layout>
              <c:showLegendKey val="0"/>
              <c:showVal val="1"/>
              <c:showCatName val="0"/>
              <c:showSerName val="0"/>
              <c:showPercent val="0"/>
              <c:showBubbleSize val="0"/>
            </c:dLbl>
            <c:dLbl>
              <c:idx val="2"/>
              <c:layout>
                <c:manualLayout>
                  <c:x val="3.9419985061485786E-2"/>
                  <c:y val="3.9800995024875808E-2"/>
                </c:manualLayout>
              </c:layout>
              <c:showLegendKey val="0"/>
              <c:showVal val="1"/>
              <c:showCatName val="0"/>
              <c:showSerName val="0"/>
              <c:showPercent val="0"/>
              <c:showBubbleSize val="0"/>
            </c:dLbl>
            <c:dLbl>
              <c:idx val="3"/>
              <c:layout>
                <c:manualLayout>
                  <c:x val="1.6701092013736769E-2"/>
                  <c:y val="1.1940298507462735E-2"/>
                </c:manualLayout>
              </c:layout>
              <c:showLegendKey val="0"/>
              <c:showVal val="1"/>
              <c:showCatName val="0"/>
              <c:showSerName val="0"/>
              <c:showPercent val="0"/>
              <c:showBubbleSize val="0"/>
            </c:dLbl>
            <c:dLbl>
              <c:idx val="4"/>
              <c:layout>
                <c:manualLayout>
                  <c:x val="-2.0246944489649685E-2"/>
                  <c:y val="3.9800995024875906E-2"/>
                </c:manualLayout>
              </c:layout>
              <c:showLegendKey val="0"/>
              <c:showVal val="1"/>
              <c:showCatName val="0"/>
              <c:showSerName val="0"/>
              <c:showPercent val="0"/>
              <c:showBubbleSize val="0"/>
            </c:dLbl>
            <c:spPr>
              <a:solidFill>
                <a:srgbClr val="FFFFCC"/>
              </a:solidFill>
              <a:ln>
                <a:solidFill>
                  <a:schemeClr val="tx1"/>
                </a:solidFill>
              </a:ln>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2008</c:v>
                </c:pt>
                <c:pt idx="1">
                  <c:v>2009</c:v>
                </c:pt>
                <c:pt idx="2">
                  <c:v>2010</c:v>
                </c:pt>
                <c:pt idx="3">
                  <c:v>2011</c:v>
                </c:pt>
                <c:pt idx="4">
                  <c:v>2012</c:v>
                </c:pt>
                <c:pt idx="5">
                  <c:v>2013</c:v>
                </c:pt>
              </c:numCache>
            </c:numRef>
          </c:cat>
          <c:val>
            <c:numRef>
              <c:f>Sheet1!$B$2:$G$2</c:f>
              <c:numCache>
                <c:formatCode>General</c:formatCode>
                <c:ptCount val="6"/>
                <c:pt idx="0">
                  <c:v>33.200000000000003</c:v>
                </c:pt>
                <c:pt idx="1">
                  <c:v>839.7</c:v>
                </c:pt>
                <c:pt idx="2">
                  <c:v>1763.3</c:v>
                </c:pt>
                <c:pt idx="3">
                  <c:v>3413.3</c:v>
                </c:pt>
                <c:pt idx="4">
                  <c:v>5090.2</c:v>
                </c:pt>
                <c:pt idx="5">
                  <c:v>9133.2000000000007</c:v>
                </c:pt>
              </c:numCache>
            </c:numRef>
          </c:val>
        </c:ser>
        <c:ser>
          <c:idx val="1"/>
          <c:order val="1"/>
          <c:tx>
            <c:strRef>
              <c:f>Sheet1!$A$3</c:f>
              <c:strCache>
                <c:ptCount val="1"/>
                <c:pt idx="0">
                  <c:v>Государственные гарантии</c:v>
                </c:pt>
              </c:strCache>
            </c:strRef>
          </c:tx>
          <c:spPr>
            <a:solidFill>
              <a:srgbClr val="FFFF00"/>
            </a:solidFill>
            <a:ln w="12662">
              <a:solidFill>
                <a:srgbClr val="000000"/>
              </a:solidFill>
              <a:prstDash val="solid"/>
            </a:ln>
          </c:spPr>
          <c:dLbls>
            <c:dLbl>
              <c:idx val="0"/>
              <c:layout>
                <c:manualLayout>
                  <c:x val="6.2613906171108583E-2"/>
                  <c:y val="-1.5920398009950265E-2"/>
                </c:manualLayout>
              </c:layout>
              <c:showLegendKey val="0"/>
              <c:showVal val="1"/>
              <c:showCatName val="0"/>
              <c:showSerName val="0"/>
              <c:showPercent val="0"/>
              <c:showBubbleSize val="0"/>
            </c:dLbl>
            <c:dLbl>
              <c:idx val="1"/>
              <c:layout>
                <c:manualLayout>
                  <c:x val="2.9676735559088521E-2"/>
                  <c:y val="-1.9900497512437842E-2"/>
                </c:manualLayout>
              </c:layout>
              <c:showLegendKey val="0"/>
              <c:showVal val="1"/>
              <c:showCatName val="0"/>
              <c:showSerName val="0"/>
              <c:showPercent val="0"/>
              <c:showBubbleSize val="0"/>
            </c:dLbl>
            <c:dLbl>
              <c:idx val="2"/>
              <c:layout>
                <c:manualLayout>
                  <c:x val="-6.9298015013624136E-3"/>
                  <c:y val="-3.1840796019900461E-2"/>
                </c:manualLayout>
              </c:layout>
              <c:showLegendKey val="0"/>
              <c:showVal val="1"/>
              <c:showCatName val="0"/>
              <c:showSerName val="0"/>
              <c:showPercent val="0"/>
              <c:showBubbleSize val="0"/>
            </c:dLbl>
            <c:dLbl>
              <c:idx val="3"/>
              <c:layout>
                <c:manualLayout>
                  <c:x val="-6.8346623603687106E-3"/>
                  <c:y val="-1.9901124299761076E-2"/>
                </c:manualLayout>
              </c:layout>
              <c:showLegendKey val="0"/>
              <c:showVal val="1"/>
              <c:showCatName val="0"/>
              <c:showSerName val="0"/>
              <c:showPercent val="0"/>
              <c:showBubbleSize val="0"/>
            </c:dLbl>
            <c:dLbl>
              <c:idx val="4"/>
              <c:layout>
                <c:manualLayout>
                  <c:x val="-4.6226439501103694E-2"/>
                  <c:y val="-1.19406119011243E-2"/>
                </c:manualLayout>
              </c:layout>
              <c:showLegendKey val="0"/>
              <c:showVal val="1"/>
              <c:showCatName val="0"/>
              <c:showSerName val="0"/>
              <c:showPercent val="0"/>
              <c:showBubbleSize val="0"/>
            </c:dLbl>
            <c:dLbl>
              <c:idx val="5"/>
              <c:layout>
                <c:manualLayout>
                  <c:x val="-5.7233704292527832E-2"/>
                  <c:y val="-3.980099502487568E-3"/>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2008</c:v>
                </c:pt>
                <c:pt idx="1">
                  <c:v>2009</c:v>
                </c:pt>
                <c:pt idx="2">
                  <c:v>2010</c:v>
                </c:pt>
                <c:pt idx="3">
                  <c:v>2011</c:v>
                </c:pt>
                <c:pt idx="4">
                  <c:v>2012</c:v>
                </c:pt>
                <c:pt idx="5">
                  <c:v>2013</c:v>
                </c:pt>
              </c:numCache>
            </c:numRef>
          </c:cat>
          <c:val>
            <c:numRef>
              <c:f>Sheet1!$B$3:$G$3</c:f>
              <c:numCache>
                <c:formatCode>General</c:formatCode>
                <c:ptCount val="6"/>
                <c:pt idx="0">
                  <c:v>109.9</c:v>
                </c:pt>
                <c:pt idx="1">
                  <c:v>437</c:v>
                </c:pt>
                <c:pt idx="2">
                  <c:v>1278.0999999999999</c:v>
                </c:pt>
                <c:pt idx="3">
                  <c:v>953.5</c:v>
                </c:pt>
                <c:pt idx="4">
                  <c:v>633.29999999999995</c:v>
                </c:pt>
                <c:pt idx="5">
                  <c:v>320.89999999999969</c:v>
                </c:pt>
              </c:numCache>
            </c:numRef>
          </c:val>
        </c:ser>
        <c:ser>
          <c:idx val="2"/>
          <c:order val="2"/>
          <c:tx>
            <c:strRef>
              <c:f>Sheet1!$A$4</c:f>
              <c:strCache>
                <c:ptCount val="1"/>
                <c:pt idx="0">
                  <c:v>Кредиты коммерческих банков</c:v>
                </c:pt>
              </c:strCache>
            </c:strRef>
          </c:tx>
          <c:spPr>
            <a:solidFill>
              <a:srgbClr val="F79646">
                <a:lumMod val="40000"/>
                <a:lumOff val="60000"/>
              </a:srgbClr>
            </a:solidFill>
            <a:ln w="12662">
              <a:solidFill>
                <a:srgbClr val="000000"/>
              </a:solidFill>
              <a:prstDash val="solid"/>
            </a:ln>
          </c:spPr>
          <c:dLbls>
            <c:dLbl>
              <c:idx val="0"/>
              <c:layout>
                <c:manualLayout>
                  <c:x val="8.4952409565656625E-2"/>
                  <c:y val="-9.1542288557213927E-2"/>
                </c:manualLayout>
              </c:layout>
              <c:showLegendKey val="0"/>
              <c:showVal val="1"/>
              <c:showCatName val="0"/>
              <c:showSerName val="0"/>
              <c:showPercent val="0"/>
              <c:showBubbleSize val="0"/>
            </c:dLbl>
            <c:dLbl>
              <c:idx val="1"/>
              <c:layout>
                <c:manualLayout>
                  <c:x val="6.3593004769475405E-3"/>
                  <c:y val="-0.10348321385199979"/>
                </c:manualLayout>
              </c:layout>
              <c:showLegendKey val="0"/>
              <c:showVal val="1"/>
              <c:showCatName val="0"/>
              <c:showSerName val="0"/>
              <c:showPercent val="0"/>
              <c:showBubbleSize val="0"/>
            </c:dLbl>
            <c:dLbl>
              <c:idx val="2"/>
              <c:layout>
                <c:manualLayout>
                  <c:x val="-1.2053127699260186E-2"/>
                  <c:y val="-9.5522388059701507E-2"/>
                </c:manualLayout>
              </c:layout>
              <c:showLegendKey val="0"/>
              <c:showVal val="1"/>
              <c:showCatName val="0"/>
              <c:showSerName val="0"/>
              <c:showPercent val="0"/>
              <c:showBubbleSize val="0"/>
            </c:dLbl>
            <c:dLbl>
              <c:idx val="3"/>
              <c:layout>
                <c:manualLayout>
                  <c:x val="-2.1292974308259195E-2"/>
                  <c:y val="-0.12338339797077601"/>
                </c:manualLayout>
              </c:layout>
              <c:showLegendKey val="0"/>
              <c:showVal val="1"/>
              <c:showCatName val="0"/>
              <c:showSerName val="0"/>
              <c:showPercent val="0"/>
              <c:showBubbleSize val="0"/>
            </c:dLbl>
            <c:dLbl>
              <c:idx val="4"/>
              <c:layout>
                <c:manualLayout>
                  <c:x val="-4.8346206326752877E-2"/>
                  <c:y val="-0.19502518901555219"/>
                </c:manualLayout>
              </c:layout>
              <c:showLegendKey val="0"/>
              <c:showVal val="1"/>
              <c:showCatName val="0"/>
              <c:showSerName val="0"/>
              <c:showPercent val="0"/>
              <c:showBubbleSize val="0"/>
            </c:dLbl>
            <c:dLbl>
              <c:idx val="5"/>
              <c:layout>
                <c:manualLayout>
                  <c:x val="-5.5113937466878718E-2"/>
                  <c:y val="-0.17114427860696521"/>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2008</c:v>
                </c:pt>
                <c:pt idx="1">
                  <c:v>2009</c:v>
                </c:pt>
                <c:pt idx="2">
                  <c:v>2010</c:v>
                </c:pt>
                <c:pt idx="3">
                  <c:v>2011</c:v>
                </c:pt>
                <c:pt idx="4">
                  <c:v>2012</c:v>
                </c:pt>
                <c:pt idx="5">
                  <c:v>2013</c:v>
                </c:pt>
              </c:numCache>
            </c:numRef>
          </c:cat>
          <c:val>
            <c:numRef>
              <c:f>Sheet1!$B$4:$G$4</c:f>
              <c:numCache>
                <c:formatCode>General</c:formatCode>
                <c:ptCount val="6"/>
                <c:pt idx="0">
                  <c:v>1300</c:v>
                </c:pt>
                <c:pt idx="1">
                  <c:v>1749.9</c:v>
                </c:pt>
                <c:pt idx="2">
                  <c:v>3700</c:v>
                </c:pt>
                <c:pt idx="3">
                  <c:v>7192</c:v>
                </c:pt>
                <c:pt idx="4">
                  <c:v>9334.9</c:v>
                </c:pt>
                <c:pt idx="5">
                  <c:v>13361.8</c:v>
                </c:pt>
              </c:numCache>
            </c:numRef>
          </c:val>
        </c:ser>
        <c:dLbls>
          <c:showLegendKey val="0"/>
          <c:showVal val="0"/>
          <c:showCatName val="0"/>
          <c:showSerName val="0"/>
          <c:showPercent val="0"/>
          <c:showBubbleSize val="0"/>
        </c:dLbls>
        <c:gapDepth val="0"/>
        <c:axId val="210461056"/>
        <c:axId val="210462592"/>
        <c:axId val="0"/>
      </c:area3DChart>
      <c:catAx>
        <c:axId val="210461056"/>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210462592"/>
        <c:crosses val="autoZero"/>
        <c:auto val="1"/>
        <c:lblAlgn val="ctr"/>
        <c:lblOffset val="100"/>
        <c:tickLblSkip val="1"/>
        <c:tickMarkSkip val="1"/>
        <c:noMultiLvlLbl val="0"/>
      </c:catAx>
      <c:valAx>
        <c:axId val="210462592"/>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210461056"/>
        <c:crosses val="autoZero"/>
        <c:crossBetween val="midCat"/>
      </c:valAx>
      <c:spPr>
        <a:noFill/>
        <a:ln w="25324">
          <a:noFill/>
        </a:ln>
      </c:spPr>
    </c:plotArea>
    <c:legend>
      <c:legendPos val="b"/>
      <c:layout>
        <c:manualLayout>
          <c:xMode val="edge"/>
          <c:yMode val="edge"/>
          <c:x val="2.0338983050847428E-2"/>
          <c:y val="0.91104294478527559"/>
          <c:w val="0.95932203389830562"/>
          <c:h val="7.9754601226994598E-2"/>
        </c:manualLayout>
      </c:layout>
      <c:overlay val="0"/>
      <c:spPr>
        <a:noFill/>
        <a:ln w="3166">
          <a:noFill/>
          <a:prstDash val="solid"/>
        </a:ln>
      </c:spPr>
      <c:txPr>
        <a:bodyPr/>
        <a:lstStyle/>
        <a:p>
          <a:pPr>
            <a:defRPr sz="1052"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4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10445496638501E-2"/>
          <c:y val="2.709313509724328E-2"/>
          <c:w val="0.90862944162436565"/>
          <c:h val="0.71681681203991154"/>
        </c:manualLayout>
      </c:layout>
      <c:barChart>
        <c:barDir val="col"/>
        <c:grouping val="stacked"/>
        <c:varyColors val="0"/>
        <c:ser>
          <c:idx val="0"/>
          <c:order val="0"/>
          <c:tx>
            <c:strRef>
              <c:f>Sheet1!$A$2</c:f>
              <c:strCache>
                <c:ptCount val="1"/>
                <c:pt idx="0">
                  <c:v>Расходы на обслуживание долга, млн. руб.</c:v>
                </c:pt>
              </c:strCache>
            </c:strRef>
          </c:tx>
          <c:spPr>
            <a:gradFill flip="none" rotWithShape="1">
              <a:gsLst>
                <a:gs pos="8000">
                  <a:srgbClr val="4BACC6">
                    <a:lumMod val="93000"/>
                    <a:alpha val="71000"/>
                  </a:srgbClr>
                </a:gs>
                <a:gs pos="45000">
                  <a:srgbClr val="0070C0">
                    <a:shade val="67500"/>
                    <a:satMod val="115000"/>
                  </a:srgbClr>
                </a:gs>
                <a:gs pos="84000">
                  <a:srgbClr val="0070C0">
                    <a:shade val="100000"/>
                    <a:satMod val="115000"/>
                  </a:srgbClr>
                </a:gs>
              </a:gsLst>
              <a:lin ang="7200000" scaled="0"/>
              <a:tileRect/>
            </a:gradFill>
            <a:ln w="15875">
              <a:solidFill>
                <a:srgbClr val="000000"/>
              </a:solidFill>
              <a:prstDash val="solid"/>
            </a:ln>
          </c:spPr>
          <c:invertIfNegative val="0"/>
          <c:dLbls>
            <c:dLbl>
              <c:idx val="0"/>
              <c:layout>
                <c:manualLayout>
                  <c:x val="-1.0664364628839899E-3"/>
                  <c:y val="-9.2871651913076086E-2"/>
                </c:manualLayout>
              </c:layout>
              <c:dLblPos val="ctr"/>
              <c:showLegendKey val="0"/>
              <c:showVal val="1"/>
              <c:showCatName val="0"/>
              <c:showSerName val="0"/>
              <c:showPercent val="0"/>
              <c:showBubbleSize val="0"/>
            </c:dLbl>
            <c:dLbl>
              <c:idx val="1"/>
              <c:layout>
                <c:manualLayout>
                  <c:x val="-1.7474559866063254E-4"/>
                  <c:y val="-9.084788314504165E-2"/>
                </c:manualLayout>
              </c:layout>
              <c:dLblPos val="ctr"/>
              <c:showLegendKey val="0"/>
              <c:showVal val="1"/>
              <c:showCatName val="0"/>
              <c:showSerName val="0"/>
              <c:showPercent val="0"/>
              <c:showBubbleSize val="0"/>
            </c:dLbl>
            <c:dLbl>
              <c:idx val="2"/>
              <c:layout>
                <c:manualLayout>
                  <c:x val="1.007071790444799E-2"/>
                  <c:y val="-9.2091423354689353E-2"/>
                </c:manualLayout>
              </c:layout>
              <c:dLblPos val="ctr"/>
              <c:showLegendKey val="0"/>
              <c:showVal val="1"/>
              <c:showCatName val="0"/>
              <c:showSerName val="0"/>
              <c:showPercent val="0"/>
              <c:showBubbleSize val="0"/>
            </c:dLbl>
            <c:dLbl>
              <c:idx val="3"/>
              <c:layout>
                <c:manualLayout>
                  <c:x val="6.8079280787575972E-3"/>
                  <c:y val="-9.7406628519261185E-2"/>
                </c:manualLayout>
              </c:layout>
              <c:dLblPos val="ctr"/>
              <c:showLegendKey val="0"/>
              <c:showVal val="1"/>
              <c:showCatName val="0"/>
              <c:showSerName val="0"/>
              <c:showPercent val="0"/>
              <c:showBubbleSize val="0"/>
            </c:dLbl>
            <c:dLbl>
              <c:idx val="4"/>
              <c:layout>
                <c:manualLayout>
                  <c:x val="-7.2814154044697904E-3"/>
                  <c:y val="-0.14799400074990626"/>
                </c:manualLayout>
              </c:layout>
              <c:dLblPos val="ctr"/>
              <c:showLegendKey val="0"/>
              <c:showVal val="1"/>
              <c:showCatName val="0"/>
              <c:showSerName val="0"/>
              <c:showPercent val="0"/>
              <c:showBubbleSize val="0"/>
            </c:dLbl>
            <c:dLbl>
              <c:idx val="5"/>
              <c:layout>
                <c:manualLayout>
                  <c:x val="-1.1074371517513799E-2"/>
                  <c:y val="-0.2774327122153209"/>
                </c:manualLayout>
              </c:layout>
              <c:showLegendKey val="0"/>
              <c:showVal val="1"/>
              <c:showCatName val="0"/>
              <c:showSerName val="0"/>
              <c:showPercent val="0"/>
              <c:showBubbleSize val="0"/>
            </c:dLbl>
            <c:dLbl>
              <c:idx val="6"/>
              <c:layout>
                <c:manualLayout>
                  <c:x val="6.6445182724252497E-2"/>
                  <c:y val="-0.34782608695652173"/>
                </c:manualLayout>
              </c:layout>
              <c:showLegendKey val="0"/>
              <c:showVal val="1"/>
              <c:showCatName val="0"/>
              <c:showSerName val="0"/>
              <c:showPercent val="0"/>
              <c:showBubbleSize val="0"/>
            </c:dLbl>
            <c:dLbl>
              <c:idx val="7"/>
              <c:layout>
                <c:manualLayout>
                  <c:x val="1.3289036544850499E-2"/>
                  <c:y val="-0.2774327122153209"/>
                </c:manualLayout>
              </c:layout>
              <c:showLegendKey val="0"/>
              <c:showVal val="1"/>
              <c:showCatName val="0"/>
              <c:showSerName val="0"/>
              <c:showPercent val="0"/>
              <c:showBubbleSize val="0"/>
            </c:dLbl>
            <c:dLbl>
              <c:idx val="8"/>
              <c:layout>
                <c:manualLayout>
                  <c:x val="3.3222591362126248E-2"/>
                  <c:y val="-0.2691511387163561"/>
                </c:manualLayout>
              </c:layout>
              <c:showLegendKey val="0"/>
              <c:showVal val="1"/>
              <c:showCatName val="0"/>
              <c:showSerName val="0"/>
              <c:showPercent val="0"/>
              <c:showBubbleSize val="0"/>
            </c:dLbl>
            <c:spPr>
              <a:noFill/>
              <a:ln w="25400">
                <a:noFill/>
              </a:ln>
            </c:spPr>
            <c:txPr>
              <a:bodyPr/>
              <a:lstStyle/>
              <a:p>
                <a:pPr>
                  <a:defRPr sz="11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Sheet1!$B$1:$J$1</c:f>
              <c:strCache>
                <c:ptCount val="9"/>
                <c:pt idx="0">
                  <c:v>2008</c:v>
                </c:pt>
                <c:pt idx="1">
                  <c:v>2009</c:v>
                </c:pt>
                <c:pt idx="2">
                  <c:v>2010</c:v>
                </c:pt>
                <c:pt idx="3">
                  <c:v>2011</c:v>
                </c:pt>
                <c:pt idx="4">
                  <c:v>2012</c:v>
                </c:pt>
                <c:pt idx="5">
                  <c:v>2013</c:v>
                </c:pt>
                <c:pt idx="6">
                  <c:v>2014 план</c:v>
                </c:pt>
                <c:pt idx="7">
                  <c:v>2015 план</c:v>
                </c:pt>
                <c:pt idx="8">
                  <c:v>2016 план</c:v>
                </c:pt>
              </c:strCache>
            </c:strRef>
          </c:cat>
          <c:val>
            <c:numRef>
              <c:f>Sheet1!$B$2:$J$2</c:f>
              <c:numCache>
                <c:formatCode>General</c:formatCode>
                <c:ptCount val="9"/>
                <c:pt idx="0">
                  <c:v>129.9</c:v>
                </c:pt>
                <c:pt idx="1">
                  <c:v>157.6</c:v>
                </c:pt>
                <c:pt idx="2">
                  <c:v>131.5</c:v>
                </c:pt>
                <c:pt idx="3">
                  <c:v>233.2</c:v>
                </c:pt>
                <c:pt idx="4">
                  <c:v>522.4</c:v>
                </c:pt>
                <c:pt idx="5">
                  <c:v>1089.2</c:v>
                </c:pt>
                <c:pt idx="6">
                  <c:v>1691.4</c:v>
                </c:pt>
                <c:pt idx="7">
                  <c:v>1131.3</c:v>
                </c:pt>
                <c:pt idx="8">
                  <c:v>1034.0999999999999</c:v>
                </c:pt>
              </c:numCache>
            </c:numRef>
          </c:val>
        </c:ser>
        <c:dLbls>
          <c:showLegendKey val="0"/>
          <c:showVal val="1"/>
          <c:showCatName val="0"/>
          <c:showSerName val="0"/>
          <c:showPercent val="0"/>
          <c:showBubbleSize val="0"/>
        </c:dLbls>
        <c:gapWidth val="60"/>
        <c:overlap val="100"/>
        <c:axId val="211604224"/>
        <c:axId val="211606912"/>
      </c:barChart>
      <c:catAx>
        <c:axId val="211604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11606912"/>
        <c:crosses val="autoZero"/>
        <c:auto val="1"/>
        <c:lblAlgn val="ctr"/>
        <c:lblOffset val="100"/>
        <c:tickLblSkip val="1"/>
        <c:tickMarkSkip val="1"/>
        <c:noMultiLvlLbl val="0"/>
      </c:catAx>
      <c:valAx>
        <c:axId val="211606912"/>
        <c:scaling>
          <c:orientation val="minMax"/>
          <c:max val="17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30000">
                <a:solidFill>
                  <a:srgbClr val="000000"/>
                </a:solidFill>
                <a:latin typeface="Times New Roman"/>
                <a:ea typeface="Times New Roman"/>
                <a:cs typeface="Times New Roman"/>
              </a:defRPr>
            </a:pPr>
            <a:endParaRPr lang="ru-RU"/>
          </a:p>
        </c:txPr>
        <c:crossAx val="211604224"/>
        <c:crosses val="autoZero"/>
        <c:crossBetween val="between"/>
        <c:majorUnit val="200"/>
      </c:valAx>
      <c:spPr>
        <a:solidFill>
          <a:schemeClr val="bg1"/>
        </a:solidFill>
        <a:ln w="12700">
          <a:solidFill>
            <a:srgbClr val="FFFF00"/>
          </a:solidFill>
          <a:prstDash val="solid"/>
        </a:ln>
      </c:spPr>
    </c:plotArea>
    <c:legend>
      <c:legendPos val="b"/>
      <c:layout>
        <c:manualLayout>
          <c:xMode val="edge"/>
          <c:yMode val="edge"/>
          <c:x val="3.7652270210409747E-2"/>
          <c:y val="0.84910557897434535"/>
          <c:w val="0.49520513424194068"/>
          <c:h val="6.661710764415317E-2"/>
        </c:manualLayout>
      </c:layout>
      <c:overlay val="0"/>
      <c:spPr>
        <a:noFill/>
        <a:ln w="3175">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7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091265490547863E-2"/>
          <c:y val="3.5440932202315291E-2"/>
          <c:w val="0.92236024844719999"/>
          <c:h val="0.6602655449827729"/>
        </c:manualLayout>
      </c:layout>
      <c:barChart>
        <c:barDir val="col"/>
        <c:grouping val="clustered"/>
        <c:varyColors val="0"/>
        <c:ser>
          <c:idx val="0"/>
          <c:order val="0"/>
          <c:tx>
            <c:strRef>
              <c:f>Sheet1!$A$2</c:f>
              <c:strCache>
                <c:ptCount val="1"/>
                <c:pt idx="0">
                  <c:v>Промышленное производство</c:v>
                </c:pt>
              </c:strCache>
            </c:strRef>
          </c:tx>
          <c:spPr>
            <a:gradFill flip="none" rotWithShape="1">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2700000" scaled="1"/>
              <a:tileRect/>
            </a:gradFill>
            <a:ln w="23481">
              <a:noFill/>
            </a:ln>
          </c:spPr>
          <c:invertIfNegative val="0"/>
          <c:dLbls>
            <c:spPr>
              <a:solidFill>
                <a:sysClr val="window" lastClr="FFFFFF"/>
              </a:solidFill>
              <a:ln w="23480">
                <a:solidFill>
                  <a:srgbClr val="CC9900"/>
                </a:solidFill>
              </a:ln>
            </c:spPr>
            <c:txPr>
              <a:bodyPr/>
              <a:lstStyle/>
              <a:p>
                <a:pPr>
                  <a:defRPr sz="1110">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0.0</c:formatCode>
                <c:ptCount val="5"/>
                <c:pt idx="0">
                  <c:v>111.4</c:v>
                </c:pt>
                <c:pt idx="1">
                  <c:v>104.3</c:v>
                </c:pt>
                <c:pt idx="2">
                  <c:v>120</c:v>
                </c:pt>
                <c:pt idx="3">
                  <c:v>108.6</c:v>
                </c:pt>
                <c:pt idx="4">
                  <c:v>105.4</c:v>
                </c:pt>
              </c:numCache>
            </c:numRef>
          </c:val>
        </c:ser>
        <c:dLbls>
          <c:showLegendKey val="0"/>
          <c:showVal val="0"/>
          <c:showCatName val="0"/>
          <c:showSerName val="0"/>
          <c:showPercent val="0"/>
          <c:showBubbleSize val="0"/>
        </c:dLbls>
        <c:gapWidth val="120"/>
        <c:axId val="253883904"/>
        <c:axId val="253885440"/>
      </c:barChart>
      <c:lineChart>
        <c:grouping val="standard"/>
        <c:varyColors val="0"/>
        <c:ser>
          <c:idx val="1"/>
          <c:order val="1"/>
          <c:tx>
            <c:strRef>
              <c:f>Sheet1!$A$3</c:f>
              <c:strCache>
                <c:ptCount val="1"/>
                <c:pt idx="0">
                  <c:v>Добыча полезных ископаемых</c:v>
                </c:pt>
              </c:strCache>
            </c:strRef>
          </c:tx>
          <c:spPr>
            <a:ln w="29350">
              <a:solidFill>
                <a:srgbClr val="FF0000"/>
              </a:solidFill>
              <a:prstDash val="solid"/>
            </a:ln>
          </c:spPr>
          <c:marker>
            <c:symbol val="square"/>
            <c:size val="7"/>
            <c:spPr>
              <a:solidFill>
                <a:srgbClr val="FF0000"/>
              </a:solidFill>
            </c:spPr>
          </c:marker>
          <c:dLbls>
            <c:dLbl>
              <c:idx val="0"/>
              <c:layout>
                <c:manualLayout>
                  <c:x val="-5.0638891657530154E-2"/>
                  <c:y val="-4.7570466735136367E-2"/>
                </c:manualLayout>
              </c:layout>
              <c:dLblPos val="r"/>
              <c:showLegendKey val="0"/>
              <c:showVal val="1"/>
              <c:showCatName val="0"/>
              <c:showSerName val="0"/>
              <c:showPercent val="0"/>
              <c:showBubbleSize val="0"/>
            </c:dLbl>
            <c:dLbl>
              <c:idx val="1"/>
              <c:layout>
                <c:manualLayout>
                  <c:x val="-4.7657065018771386E-2"/>
                  <c:y val="4.9672993774328933E-2"/>
                </c:manualLayout>
              </c:layout>
              <c:showLegendKey val="0"/>
              <c:showVal val="1"/>
              <c:showCatName val="0"/>
              <c:showSerName val="0"/>
              <c:showPercent val="0"/>
              <c:showBubbleSize val="0"/>
            </c:dLbl>
            <c:dLbl>
              <c:idx val="2"/>
              <c:layout>
                <c:manualLayout>
                  <c:x val="-4.5547526495896877E-2"/>
                  <c:y val="-4.76802718500767E-2"/>
                </c:manualLayout>
              </c:layout>
              <c:dLblPos val="r"/>
              <c:showLegendKey val="0"/>
              <c:showVal val="1"/>
              <c:showCatName val="0"/>
              <c:showSerName val="0"/>
              <c:showPercent val="0"/>
              <c:showBubbleSize val="0"/>
            </c:dLbl>
            <c:dLbl>
              <c:idx val="3"/>
              <c:layout>
                <c:manualLayout>
                  <c:x val="-4.4572909398983278E-2"/>
                  <c:y val="4.4941737355294359E-2"/>
                </c:manualLayout>
              </c:layout>
              <c:showLegendKey val="0"/>
              <c:showVal val="1"/>
              <c:showCatName val="0"/>
              <c:showSerName val="0"/>
              <c:showPercent val="0"/>
              <c:showBubbleSize val="0"/>
            </c:dLbl>
            <c:dLbl>
              <c:idx val="4"/>
              <c:layout>
                <c:manualLayout>
                  <c:x val="-2.3035649024884548E-3"/>
                  <c:y val="-2.111505669634433E-2"/>
                </c:manualLayout>
              </c:layout>
              <c:dLblPos val="r"/>
              <c:showLegendKey val="0"/>
              <c:showVal val="1"/>
              <c:showCatName val="0"/>
              <c:showSerName val="0"/>
              <c:showPercent val="0"/>
              <c:showBubbleSize val="0"/>
            </c:dLbl>
            <c:spPr>
              <a:solidFill>
                <a:sysClr val="window" lastClr="FFFFFF"/>
              </a:solidFill>
              <a:ln w="23480">
                <a:solidFill>
                  <a:srgbClr val="FF0000"/>
                </a:solidFill>
              </a:ln>
            </c:spPr>
            <c:txPr>
              <a:bodyPr/>
              <a:lstStyle/>
              <a:p>
                <a:pPr>
                  <a:defRPr sz="111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Sheet1!$B$3:$F$3</c:f>
              <c:numCache>
                <c:formatCode>0.0</c:formatCode>
                <c:ptCount val="5"/>
                <c:pt idx="0">
                  <c:v>114.9</c:v>
                </c:pt>
                <c:pt idx="1">
                  <c:v>102.8</c:v>
                </c:pt>
                <c:pt idx="2">
                  <c:v>142.19999999999999</c:v>
                </c:pt>
                <c:pt idx="3">
                  <c:v>102.4</c:v>
                </c:pt>
                <c:pt idx="4">
                  <c:v>105.3</c:v>
                </c:pt>
              </c:numCache>
            </c:numRef>
          </c:val>
          <c:smooth val="1"/>
        </c:ser>
        <c:ser>
          <c:idx val="2"/>
          <c:order val="2"/>
          <c:tx>
            <c:strRef>
              <c:f>Sheet1!$A$4</c:f>
              <c:strCache>
                <c:ptCount val="1"/>
                <c:pt idx="0">
                  <c:v>Обрабатывающие производства</c:v>
                </c:pt>
              </c:strCache>
            </c:strRef>
          </c:tx>
          <c:spPr>
            <a:ln w="29350">
              <a:solidFill>
                <a:srgbClr val="6600FF"/>
              </a:solidFill>
              <a:prstDash val="solid"/>
            </a:ln>
          </c:spPr>
          <c:marker>
            <c:symbol val="triangle"/>
            <c:size val="7"/>
            <c:spPr>
              <a:solidFill>
                <a:srgbClr val="9933FF"/>
              </a:solidFill>
              <a:ln w="8805">
                <a:solidFill>
                  <a:srgbClr val="000000"/>
                </a:solidFill>
                <a:prstDash val="solid"/>
              </a:ln>
            </c:spPr>
          </c:marker>
          <c:dLbls>
            <c:dLbl>
              <c:idx val="0"/>
              <c:layout>
                <c:manualLayout>
                  <c:x val="-4.6380112296089571E-2"/>
                  <c:y val="4.2552651933001132E-2"/>
                </c:manualLayout>
              </c:layout>
              <c:dLblPos val="r"/>
              <c:showLegendKey val="0"/>
              <c:showVal val="1"/>
              <c:showCatName val="0"/>
              <c:showSerName val="0"/>
              <c:showPercent val="0"/>
              <c:showBubbleSize val="0"/>
            </c:dLbl>
            <c:dLbl>
              <c:idx val="1"/>
              <c:layout>
                <c:manualLayout>
                  <c:x val="4.6620319611947243E-2"/>
                  <c:y val="-3.654744137374985E-2"/>
                </c:manualLayout>
              </c:layout>
              <c:dLblPos val="r"/>
              <c:showLegendKey val="0"/>
              <c:showVal val="1"/>
              <c:showCatName val="0"/>
              <c:showSerName val="0"/>
              <c:showPercent val="0"/>
              <c:showBubbleSize val="0"/>
            </c:dLbl>
            <c:dLbl>
              <c:idx val="2"/>
              <c:layout>
                <c:manualLayout>
                  <c:x val="-5.0865809495332072E-2"/>
                  <c:y val="-5.6407876551662982E-2"/>
                </c:manualLayout>
              </c:layout>
              <c:showLegendKey val="0"/>
              <c:showVal val="1"/>
              <c:showCatName val="0"/>
              <c:showSerName val="0"/>
              <c:showPercent val="0"/>
              <c:showBubbleSize val="0"/>
            </c:dLbl>
            <c:dLbl>
              <c:idx val="3"/>
              <c:layout>
                <c:manualLayout>
                  <c:x val="-4.7801421974151964E-2"/>
                  <c:y val="-4.6798534241190869E-2"/>
                </c:manualLayout>
              </c:layout>
              <c:showLegendKey val="0"/>
              <c:showVal val="1"/>
              <c:showCatName val="0"/>
              <c:showSerName val="0"/>
              <c:showPercent val="0"/>
              <c:showBubbleSize val="0"/>
            </c:dLbl>
            <c:dLbl>
              <c:idx val="4"/>
              <c:layout>
                <c:manualLayout>
                  <c:x val="-4.852320675105485E-2"/>
                  <c:y val="5.0896826302509288E-2"/>
                </c:manualLayout>
              </c:layout>
              <c:dLblPos val="r"/>
              <c:showLegendKey val="0"/>
              <c:showVal val="1"/>
              <c:showCatName val="0"/>
              <c:showSerName val="0"/>
              <c:showPercent val="0"/>
              <c:showBubbleSize val="0"/>
            </c:dLbl>
            <c:spPr>
              <a:solidFill>
                <a:sysClr val="window" lastClr="FFFFFF"/>
              </a:solidFill>
              <a:ln w="23480">
                <a:solidFill>
                  <a:srgbClr val="7030A0"/>
                </a:solidFill>
              </a:ln>
            </c:spPr>
            <c:txPr>
              <a:bodyPr/>
              <a:lstStyle/>
              <a:p>
                <a:pPr>
                  <a:defRPr sz="111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Sheet1!$B$4:$F$4</c:f>
              <c:numCache>
                <c:formatCode>0.0</c:formatCode>
                <c:ptCount val="5"/>
                <c:pt idx="0">
                  <c:v>99.6</c:v>
                </c:pt>
                <c:pt idx="1">
                  <c:v>104.1</c:v>
                </c:pt>
                <c:pt idx="2">
                  <c:v>104.7</c:v>
                </c:pt>
                <c:pt idx="3">
                  <c:v>124.3</c:v>
                </c:pt>
                <c:pt idx="4">
                  <c:v>103.5</c:v>
                </c:pt>
              </c:numCache>
            </c:numRef>
          </c:val>
          <c:smooth val="1"/>
        </c:ser>
        <c:ser>
          <c:idx val="3"/>
          <c:order val="3"/>
          <c:tx>
            <c:strRef>
              <c:f>Sheet1!$A$5</c:f>
              <c:strCache>
                <c:ptCount val="1"/>
                <c:pt idx="0">
                  <c:v>Производство и распределение электроэнергии, газа и воды</c:v>
                </c:pt>
              </c:strCache>
            </c:strRef>
          </c:tx>
          <c:spPr>
            <a:ln w="29350">
              <a:solidFill>
                <a:srgbClr val="00CC99"/>
              </a:solidFill>
              <a:prstDash val="solid"/>
            </a:ln>
          </c:spPr>
          <c:marker>
            <c:symbol val="circle"/>
            <c:size val="7"/>
            <c:spPr>
              <a:solidFill>
                <a:srgbClr val="00CC99"/>
              </a:solidFill>
              <a:ln>
                <a:solidFill>
                  <a:srgbClr val="000000"/>
                </a:solidFill>
                <a:prstDash val="solid"/>
              </a:ln>
            </c:spPr>
          </c:marker>
          <c:dLbls>
            <c:dLbl>
              <c:idx val="0"/>
              <c:layout>
                <c:manualLayout>
                  <c:x val="-4.8493139306953738E-2"/>
                  <c:y val="4.693953110933597E-2"/>
                </c:manualLayout>
              </c:layout>
              <c:dLblPos val="r"/>
              <c:showLegendKey val="0"/>
              <c:showVal val="1"/>
              <c:showCatName val="0"/>
              <c:showSerName val="0"/>
              <c:showPercent val="0"/>
              <c:showBubbleSize val="0"/>
            </c:dLbl>
            <c:dLbl>
              <c:idx val="1"/>
              <c:layout>
                <c:manualLayout>
                  <c:x val="-5.0649357121499053E-2"/>
                  <c:y val="-5.6407876551662926E-2"/>
                </c:manualLayout>
              </c:layout>
              <c:showLegendKey val="0"/>
              <c:showVal val="1"/>
              <c:showCatName val="0"/>
              <c:showSerName val="0"/>
              <c:showPercent val="0"/>
              <c:showBubbleSize val="0"/>
            </c:dLbl>
            <c:dLbl>
              <c:idx val="2"/>
              <c:layout>
                <c:manualLayout>
                  <c:x val="-4.3071364497159377E-2"/>
                  <c:y val="-5.4013212116601365E-2"/>
                </c:manualLayout>
              </c:layout>
              <c:dLblPos val="r"/>
              <c:showLegendKey val="0"/>
              <c:showVal val="1"/>
              <c:showCatName val="0"/>
              <c:showSerName val="0"/>
              <c:showPercent val="0"/>
              <c:showBubbleSize val="0"/>
            </c:dLbl>
            <c:dLbl>
              <c:idx val="3"/>
              <c:layout>
                <c:manualLayout>
                  <c:x val="-4.7007375660320941E-2"/>
                  <c:y val="-4.1479959932544663E-2"/>
                </c:manualLayout>
              </c:layout>
              <c:showLegendKey val="0"/>
              <c:showVal val="1"/>
              <c:showCatName val="0"/>
              <c:showSerName val="0"/>
              <c:showPercent val="0"/>
              <c:showBubbleSize val="0"/>
            </c:dLbl>
            <c:dLbl>
              <c:idx val="4"/>
              <c:layout>
                <c:manualLayout>
                  <c:x val="-4.2228977706900558E-3"/>
                  <c:y val="-8.7331926646424057E-2"/>
                </c:manualLayout>
              </c:layout>
              <c:dLblPos val="r"/>
              <c:showLegendKey val="0"/>
              <c:showVal val="1"/>
              <c:showCatName val="0"/>
              <c:showSerName val="0"/>
              <c:showPercent val="0"/>
              <c:showBubbleSize val="0"/>
            </c:dLbl>
            <c:spPr>
              <a:solidFill>
                <a:sysClr val="window" lastClr="FFFFFF"/>
              </a:solidFill>
              <a:ln w="23480">
                <a:solidFill>
                  <a:srgbClr val="00CC99"/>
                </a:solidFill>
              </a:ln>
            </c:spPr>
            <c:txPr>
              <a:bodyPr/>
              <a:lstStyle/>
              <a:p>
                <a:pPr>
                  <a:defRPr sz="111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Sheet1!$B$5:$F$5</c:f>
              <c:numCache>
                <c:formatCode>0.0</c:formatCode>
                <c:ptCount val="5"/>
                <c:pt idx="0">
                  <c:v>113</c:v>
                </c:pt>
                <c:pt idx="1">
                  <c:v>107.3</c:v>
                </c:pt>
                <c:pt idx="2">
                  <c:v>90.1</c:v>
                </c:pt>
                <c:pt idx="3">
                  <c:v>114.9</c:v>
                </c:pt>
                <c:pt idx="4">
                  <c:v>107.1</c:v>
                </c:pt>
              </c:numCache>
            </c:numRef>
          </c:val>
          <c:smooth val="1"/>
        </c:ser>
        <c:dLbls>
          <c:showLegendKey val="0"/>
          <c:showVal val="0"/>
          <c:showCatName val="0"/>
          <c:showSerName val="0"/>
          <c:showPercent val="0"/>
          <c:showBubbleSize val="0"/>
        </c:dLbls>
        <c:marker val="1"/>
        <c:smooth val="0"/>
        <c:axId val="253883904"/>
        <c:axId val="253885440"/>
      </c:lineChart>
      <c:catAx>
        <c:axId val="253883904"/>
        <c:scaling>
          <c:orientation val="minMax"/>
        </c:scaling>
        <c:delete val="0"/>
        <c:axPos val="b"/>
        <c:numFmt formatCode="General" sourceLinked="1"/>
        <c:majorTickMark val="out"/>
        <c:minorTickMark val="none"/>
        <c:tickLblPos val="nextTo"/>
        <c:spPr>
          <a:ln w="293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253885440"/>
        <c:crosses val="autoZero"/>
        <c:auto val="1"/>
        <c:lblAlgn val="ctr"/>
        <c:lblOffset val="100"/>
        <c:tickLblSkip val="1"/>
        <c:tickMarkSkip val="1"/>
        <c:noMultiLvlLbl val="0"/>
      </c:catAx>
      <c:valAx>
        <c:axId val="253885440"/>
        <c:scaling>
          <c:orientation val="minMax"/>
          <c:max val="150"/>
          <c:min val="80"/>
        </c:scaling>
        <c:delete val="0"/>
        <c:axPos val="l"/>
        <c:title>
          <c:tx>
            <c:rich>
              <a:bodyPr rot="0" vert="horz"/>
              <a:lstStyle/>
              <a:p>
                <a:pPr algn="ctr">
                  <a:defRPr sz="925" b="1" i="0" u="none" strike="noStrike" baseline="0">
                    <a:solidFill>
                      <a:srgbClr val="000000"/>
                    </a:solidFill>
                    <a:latin typeface="Times New Roman"/>
                    <a:ea typeface="Times New Roman"/>
                    <a:cs typeface="Times New Roman"/>
                  </a:defRPr>
                </a:pPr>
                <a:r>
                  <a:rPr lang="ru-RU"/>
                  <a:t>процентов</a:t>
                </a:r>
              </a:p>
            </c:rich>
          </c:tx>
          <c:layout>
            <c:manualLayout>
              <c:xMode val="edge"/>
              <c:yMode val="edge"/>
              <c:x val="8.4993759666297644E-2"/>
              <c:y val="2.4529459070141368E-2"/>
            </c:manualLayout>
          </c:layout>
          <c:overlay val="0"/>
          <c:spPr>
            <a:noFill/>
            <a:ln w="23481">
              <a:noFill/>
            </a:ln>
          </c:spPr>
        </c:title>
        <c:numFmt formatCode="0.0" sourceLinked="1"/>
        <c:majorTickMark val="out"/>
        <c:minorTickMark val="none"/>
        <c:tickLblPos val="nextTo"/>
        <c:spPr>
          <a:ln w="2935">
            <a:solidFill>
              <a:srgbClr val="000000"/>
            </a:solidFill>
            <a:prstDash val="solid"/>
          </a:ln>
        </c:spPr>
        <c:txPr>
          <a:bodyPr rot="0" vert="horz"/>
          <a:lstStyle/>
          <a:p>
            <a:pPr>
              <a:defRPr sz="925" b="1" i="0" u="none" strike="noStrike" baseline="0">
                <a:solidFill>
                  <a:srgbClr val="000000"/>
                </a:solidFill>
                <a:latin typeface="Times New Roman" pitchFamily="18" charset="0"/>
                <a:ea typeface="Arial Cyr"/>
                <a:cs typeface="Times New Roman" pitchFamily="18" charset="0"/>
              </a:defRPr>
            </a:pPr>
            <a:endParaRPr lang="ru-RU"/>
          </a:p>
        </c:txPr>
        <c:crossAx val="253883904"/>
        <c:crosses val="autoZero"/>
        <c:crossBetween val="between"/>
        <c:majorUnit val="20"/>
        <c:minorUnit val="10"/>
      </c:valAx>
      <c:spPr>
        <a:noFill/>
        <a:ln w="11740">
          <a:solidFill>
            <a:srgbClr val="FFFFFF"/>
          </a:solidFill>
          <a:prstDash val="solid"/>
        </a:ln>
      </c:spPr>
    </c:plotArea>
    <c:legend>
      <c:legendPos val="b"/>
      <c:layout>
        <c:manualLayout>
          <c:xMode val="edge"/>
          <c:yMode val="edge"/>
          <c:x val="0"/>
          <c:y val="0.76316875699983899"/>
          <c:w val="0.98757771392320048"/>
          <c:h val="0.23375481973548096"/>
        </c:manualLayout>
      </c:layout>
      <c:overlay val="0"/>
      <c:spPr>
        <a:noFill/>
        <a:ln w="23481">
          <a:noFill/>
        </a:ln>
      </c:spPr>
      <c:txPr>
        <a:bodyPr/>
        <a:lstStyle/>
        <a:p>
          <a:pPr>
            <a:defRPr sz="925" b="1" i="0" u="none" strike="noStrike" baseline="0">
              <a:solidFill>
                <a:srgbClr val="000000"/>
              </a:solidFill>
              <a:latin typeface="Times New Roman" pitchFamily="18" charset="0"/>
              <a:ea typeface="Times New Roman CYR"/>
              <a:cs typeface="Times New Roman" pitchFamily="18" charset="0"/>
            </a:defRPr>
          </a:pPr>
          <a:endParaRPr lang="ru-RU"/>
        </a:p>
      </c:txPr>
    </c:legend>
    <c:plotVisOnly val="1"/>
    <c:dispBlanksAs val="gap"/>
    <c:showDLblsOverMax val="0"/>
  </c:chart>
  <c:spPr>
    <a:noFill/>
    <a:ln>
      <a:noFill/>
    </a:ln>
  </c:spPr>
  <c:txPr>
    <a:bodyPr/>
    <a:lstStyle/>
    <a:p>
      <a:pPr>
        <a:defRPr sz="143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1116952900572471E-2"/>
          <c:y val="0"/>
          <c:w val="0.94907407407408173"/>
          <c:h val="0.75750188326157375"/>
        </c:manualLayout>
      </c:layout>
      <c:barChart>
        <c:barDir val="col"/>
        <c:grouping val="clustered"/>
        <c:varyColors val="0"/>
        <c:ser>
          <c:idx val="0"/>
          <c:order val="0"/>
          <c:tx>
            <c:strRef>
              <c:f>Лист1!$B$1</c:f>
              <c:strCache>
                <c:ptCount val="1"/>
                <c:pt idx="0">
                  <c:v>Зерновые культуры (в весе после доработки)</c:v>
                </c:pt>
              </c:strCache>
            </c:strRef>
          </c:tx>
          <c:spPr>
            <a:solidFill>
              <a:srgbClr val="FFFF00"/>
            </a:solidFill>
            <a:ln w="12700">
              <a:solidFill>
                <a:schemeClr val="tx1"/>
              </a:solidFill>
            </a:ln>
            <a:effectLst>
              <a:innerShdw blurRad="152400" dir="16200000">
                <a:sysClr val="window" lastClr="FFFFFF">
                  <a:alpha val="50000"/>
                </a:sysClr>
              </a:innerShdw>
            </a:effectLst>
            <a:scene3d>
              <a:camera prst="orthographicFront"/>
              <a:lightRig rig="freezing"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2012 год</c:v>
                </c:pt>
                <c:pt idx="1">
                  <c:v>2013 год</c:v>
                </c:pt>
              </c:strCache>
            </c:strRef>
          </c:cat>
          <c:val>
            <c:numRef>
              <c:f>Лист1!$B$2:$B$3</c:f>
              <c:numCache>
                <c:formatCode>General</c:formatCode>
                <c:ptCount val="2"/>
                <c:pt idx="0">
                  <c:v>271.3</c:v>
                </c:pt>
                <c:pt idx="1">
                  <c:v>172.3</c:v>
                </c:pt>
              </c:numCache>
            </c:numRef>
          </c:val>
        </c:ser>
        <c:ser>
          <c:idx val="1"/>
          <c:order val="1"/>
          <c:tx>
            <c:strRef>
              <c:f>Лист1!$C$1</c:f>
              <c:strCache>
                <c:ptCount val="1"/>
                <c:pt idx="0">
                  <c:v>Соя (в весе после доработки)</c:v>
                </c:pt>
              </c:strCache>
            </c:strRef>
          </c:tx>
          <c:spPr>
            <a:solidFill>
              <a:srgbClr val="FFC000"/>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2012 год</c:v>
                </c:pt>
                <c:pt idx="1">
                  <c:v>2013 год</c:v>
                </c:pt>
              </c:strCache>
            </c:strRef>
          </c:cat>
          <c:val>
            <c:numRef>
              <c:f>Лист1!$C$2:$C$3</c:f>
              <c:numCache>
                <c:formatCode>General</c:formatCode>
                <c:ptCount val="2"/>
                <c:pt idx="0">
                  <c:v>724</c:v>
                </c:pt>
                <c:pt idx="1">
                  <c:v>376</c:v>
                </c:pt>
              </c:numCache>
            </c:numRef>
          </c:val>
        </c:ser>
        <c:ser>
          <c:idx val="2"/>
          <c:order val="2"/>
          <c:tx>
            <c:strRef>
              <c:f>Лист1!$D$1</c:f>
              <c:strCache>
                <c:ptCount val="1"/>
                <c:pt idx="0">
                  <c:v>Картофель</c:v>
                </c:pt>
              </c:strCache>
            </c:strRef>
          </c:tx>
          <c:spPr>
            <a:solidFill>
              <a:srgbClr val="996633"/>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2012 год</c:v>
                </c:pt>
                <c:pt idx="1">
                  <c:v>2013 год</c:v>
                </c:pt>
              </c:strCache>
            </c:strRef>
          </c:cat>
          <c:val>
            <c:numRef>
              <c:f>Лист1!$D$2:$D$3</c:f>
              <c:numCache>
                <c:formatCode>General</c:formatCode>
                <c:ptCount val="2"/>
                <c:pt idx="0">
                  <c:v>296</c:v>
                </c:pt>
                <c:pt idx="1">
                  <c:v>118</c:v>
                </c:pt>
              </c:numCache>
            </c:numRef>
          </c:val>
        </c:ser>
        <c:ser>
          <c:idx val="3"/>
          <c:order val="3"/>
          <c:tx>
            <c:strRef>
              <c:f>Лист1!$E$1</c:f>
              <c:strCache>
                <c:ptCount val="1"/>
                <c:pt idx="0">
                  <c:v>Овощи</c:v>
                </c:pt>
              </c:strCache>
            </c:strRef>
          </c:tx>
          <c:spPr>
            <a:solidFill>
              <a:srgbClr val="00B050"/>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2012 год</c:v>
                </c:pt>
                <c:pt idx="1">
                  <c:v>2013 год</c:v>
                </c:pt>
              </c:strCache>
            </c:strRef>
          </c:cat>
          <c:val>
            <c:numRef>
              <c:f>Лист1!$E$2:$E$3</c:f>
              <c:numCache>
                <c:formatCode>General</c:formatCode>
                <c:ptCount val="2"/>
                <c:pt idx="0">
                  <c:v>69.3</c:v>
                </c:pt>
                <c:pt idx="1">
                  <c:v>35</c:v>
                </c:pt>
              </c:numCache>
            </c:numRef>
          </c:val>
        </c:ser>
        <c:dLbls>
          <c:showLegendKey val="0"/>
          <c:showVal val="0"/>
          <c:showCatName val="0"/>
          <c:showSerName val="0"/>
          <c:showPercent val="0"/>
          <c:showBubbleSize val="0"/>
        </c:dLbls>
        <c:gapWidth val="150"/>
        <c:axId val="184630656"/>
        <c:axId val="184648832"/>
      </c:barChart>
      <c:catAx>
        <c:axId val="184630656"/>
        <c:scaling>
          <c:orientation val="minMax"/>
        </c:scaling>
        <c:delete val="0"/>
        <c:axPos val="b"/>
        <c:numFmt formatCode="General" sourceLinked="1"/>
        <c:majorTickMark val="out"/>
        <c:minorTickMark val="none"/>
        <c:tickLblPos val="nextTo"/>
        <c:spPr>
          <a:ln w="16909">
            <a:solidFill>
              <a:srgbClr val="000099"/>
            </a:solidFill>
          </a:ln>
        </c:spPr>
        <c:crossAx val="184648832"/>
        <c:crosses val="autoZero"/>
        <c:auto val="1"/>
        <c:lblAlgn val="ctr"/>
        <c:lblOffset val="100"/>
        <c:noMultiLvlLbl val="0"/>
      </c:catAx>
      <c:valAx>
        <c:axId val="184648832"/>
        <c:scaling>
          <c:orientation val="minMax"/>
        </c:scaling>
        <c:delete val="1"/>
        <c:axPos val="l"/>
        <c:numFmt formatCode="General" sourceLinked="1"/>
        <c:majorTickMark val="out"/>
        <c:minorTickMark val="none"/>
        <c:tickLblPos val="none"/>
        <c:crossAx val="184630656"/>
        <c:crosses val="autoZero"/>
        <c:crossBetween val="between"/>
      </c:valAx>
      <c:spPr>
        <a:ln>
          <a:noFill/>
        </a:ln>
      </c:spPr>
    </c:plotArea>
    <c:legend>
      <c:legendPos val="b"/>
      <c:layout>
        <c:manualLayout>
          <c:xMode val="edge"/>
          <c:yMode val="edge"/>
          <c:x val="6.6445933388761189E-2"/>
          <c:y val="0.84609522668981962"/>
          <c:w val="0.8999999170719819"/>
          <c:h val="0.13130704669520873"/>
        </c:manualLayout>
      </c:layout>
      <c:overlay val="0"/>
    </c:legend>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130912592760437"/>
          <c:y val="0.12576254783794485"/>
          <c:w val="0.45973715515776353"/>
          <c:h val="0.74184284227041453"/>
        </c:manualLayout>
      </c:layout>
      <c:radarChart>
        <c:radarStyle val="filled"/>
        <c:varyColors val="0"/>
        <c:ser>
          <c:idx val="0"/>
          <c:order val="0"/>
          <c:tx>
            <c:strRef>
              <c:f>Sheet1!$A$2</c:f>
              <c:strCache>
                <c:ptCount val="1"/>
                <c:pt idx="0">
                  <c:v>2012 год</c:v>
                </c:pt>
              </c:strCache>
            </c:strRef>
          </c:tx>
          <c:spPr>
            <a:gradFill>
              <a:gsLst>
                <a:gs pos="0">
                  <a:sysClr val="window" lastClr="FFFFFF">
                    <a:lumMod val="95000"/>
                  </a:sysClr>
                </a:gs>
                <a:gs pos="50000">
                  <a:srgbClr val="99CCFF">
                    <a:gamma/>
                    <a:tint val="0"/>
                    <a:invGamma/>
                    <a:alpha val="0"/>
                  </a:srgbClr>
                </a:gs>
                <a:gs pos="100000">
                  <a:sysClr val="window" lastClr="FFFFFF">
                    <a:alpha val="0"/>
                  </a:sysClr>
                </a:gs>
              </a:gsLst>
              <a:lin ang="0" scaled="1"/>
            </a:gradFill>
            <a:ln w="30475" cmpd="thickThin">
              <a:solidFill>
                <a:srgbClr val="0000FF"/>
              </a:solidFill>
              <a:prstDash val="solid"/>
            </a:ln>
            <a:effectLst>
              <a:outerShdw blurRad="50800" dist="50800" dir="5400000" algn="ctr" rotWithShape="0">
                <a:srgbClr val="1F497D">
                  <a:lumMod val="20000"/>
                  <a:lumOff val="80000"/>
                </a:srgbClr>
              </a:outerShdw>
            </a:effectLst>
          </c:spPr>
          <c:dLbls>
            <c:dLbl>
              <c:idx val="0"/>
              <c:layout>
                <c:manualLayout>
                  <c:x val="4.1666666666666664E-2"/>
                  <c:y val="4.0498442367601292E-2"/>
                </c:manualLayout>
              </c:layout>
              <c:showLegendKey val="0"/>
              <c:showVal val="1"/>
              <c:showCatName val="0"/>
              <c:showSerName val="0"/>
              <c:showPercent val="0"/>
              <c:showBubbleSize val="0"/>
            </c:dLbl>
            <c:dLbl>
              <c:idx val="1"/>
              <c:layout>
                <c:manualLayout>
                  <c:x val="-3.3436324261748647E-2"/>
                  <c:y val="-4.6728851201292144E-2"/>
                </c:manualLayout>
              </c:layout>
              <c:showLegendKey val="0"/>
              <c:showVal val="1"/>
              <c:showCatName val="0"/>
              <c:showSerName val="0"/>
              <c:showPercent val="0"/>
              <c:showBubbleSize val="0"/>
            </c:dLbl>
            <c:dLbl>
              <c:idx val="2"/>
              <c:layout>
                <c:manualLayout>
                  <c:x val="3.1250000000000076E-2"/>
                  <c:y val="-5.6074766355140193E-2"/>
                </c:manualLayout>
              </c:layout>
              <c:showLegendKey val="0"/>
              <c:showVal val="1"/>
              <c:showCatName val="0"/>
              <c:showSerName val="0"/>
              <c:showPercent val="0"/>
              <c:showBubbleSize val="0"/>
            </c:dLbl>
            <c:dLbl>
              <c:idx val="3"/>
              <c:layout>
                <c:manualLayout>
                  <c:x val="7.3135934053870644E-2"/>
                  <c:y val="-1.2454350898445387E-2"/>
                </c:manualLayout>
              </c:layout>
              <c:showLegendKey val="0"/>
              <c:showVal val="1"/>
              <c:showCatName val="0"/>
              <c:showSerName val="0"/>
              <c:showPercent val="0"/>
              <c:showBubbleSize val="0"/>
            </c:dLbl>
            <c:dLbl>
              <c:idx val="4"/>
              <c:layout>
                <c:manualLayout>
                  <c:x val="3.136992767990332E-2"/>
                  <c:y val="-1.2600184753442132E-2"/>
                </c:manualLayout>
              </c:layout>
              <c:showLegendKey val="0"/>
              <c:showVal val="1"/>
              <c:showCatName val="0"/>
              <c:showSerName val="0"/>
              <c:showPercent val="0"/>
              <c:showBubbleSize val="0"/>
            </c:dLbl>
            <c:txPr>
              <a:bodyPr/>
              <a:lstStyle/>
              <a:p>
                <a:pPr>
                  <a:defRPr sz="1100">
                    <a:solidFill>
                      <a:srgbClr val="0000FF"/>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Индекс потребительских цен</c:v>
                </c:pt>
                <c:pt idx="1">
                  <c:v>Индекс цен производителей промышленных товаров</c:v>
                </c:pt>
                <c:pt idx="2">
                  <c:v>Сводный индекс цен строительной продукции</c:v>
                </c:pt>
                <c:pt idx="3">
                  <c:v>Индекс цен производителей  сельскохозяйственной  продукции</c:v>
                </c:pt>
                <c:pt idx="4">
                  <c:v>Индекс тарифов на грузовые перевозки</c:v>
                </c:pt>
              </c:strCache>
            </c:strRef>
          </c:cat>
          <c:val>
            <c:numRef>
              <c:f>Sheet1!$B$2:$F$2</c:f>
              <c:numCache>
                <c:formatCode>0.0</c:formatCode>
                <c:ptCount val="5"/>
                <c:pt idx="0">
                  <c:v>107.2</c:v>
                </c:pt>
                <c:pt idx="1">
                  <c:v>102.2</c:v>
                </c:pt>
                <c:pt idx="2">
                  <c:v>103.5</c:v>
                </c:pt>
                <c:pt idx="3">
                  <c:v>113.3</c:v>
                </c:pt>
                <c:pt idx="4">
                  <c:v>115</c:v>
                </c:pt>
              </c:numCache>
            </c:numRef>
          </c:val>
        </c:ser>
        <c:ser>
          <c:idx val="1"/>
          <c:order val="1"/>
          <c:tx>
            <c:strRef>
              <c:f>Sheet1!$A$3</c:f>
              <c:strCache>
                <c:ptCount val="1"/>
                <c:pt idx="0">
                  <c:v>2013 год</c:v>
                </c:pt>
              </c:strCache>
            </c:strRef>
          </c:tx>
          <c:spPr>
            <a:gradFill>
              <a:gsLst>
                <a:gs pos="0">
                  <a:sysClr val="window" lastClr="FFFFFF">
                    <a:lumMod val="95000"/>
                  </a:sysClr>
                </a:gs>
                <a:gs pos="50000">
                  <a:srgbClr val="99CCFF">
                    <a:gamma/>
                    <a:tint val="0"/>
                    <a:invGamma/>
                    <a:alpha val="0"/>
                  </a:srgbClr>
                </a:gs>
                <a:gs pos="100000">
                  <a:sysClr val="window" lastClr="FFFFFF">
                    <a:alpha val="0"/>
                  </a:sysClr>
                </a:gs>
              </a:gsLst>
              <a:lin ang="0" scaled="1"/>
            </a:gradFill>
            <a:ln w="38100" cmpd="dbl">
              <a:solidFill>
                <a:srgbClr val="C00000"/>
              </a:solidFill>
              <a:prstDash val="sysDash"/>
            </a:ln>
          </c:spPr>
          <c:dLbls>
            <c:dLbl>
              <c:idx val="0"/>
              <c:layout>
                <c:manualLayout>
                  <c:x val="-4.6747672727959363E-2"/>
                  <c:y val="3.7800554260326399E-2"/>
                </c:manualLayout>
              </c:layout>
              <c:showLegendKey val="0"/>
              <c:showVal val="1"/>
              <c:showCatName val="0"/>
              <c:showSerName val="0"/>
              <c:showPercent val="0"/>
              <c:showBubbleSize val="0"/>
            </c:dLbl>
            <c:dLbl>
              <c:idx val="1"/>
              <c:layout>
                <c:manualLayout>
                  <c:x val="-9.2929353412572482E-2"/>
                  <c:y val="1.2670139309509389E-2"/>
                </c:manualLayout>
              </c:layout>
              <c:showLegendKey val="0"/>
              <c:showVal val="1"/>
              <c:showCatName val="0"/>
              <c:showSerName val="0"/>
              <c:showPercent val="0"/>
              <c:showBubbleSize val="0"/>
            </c:dLbl>
            <c:dLbl>
              <c:idx val="2"/>
              <c:layout>
                <c:manualLayout>
                  <c:x val="-4.9999900202588744E-2"/>
                  <c:y val="-1.6256814052089643E-2"/>
                </c:manualLayout>
              </c:layout>
              <c:showLegendKey val="0"/>
              <c:showVal val="1"/>
              <c:showCatName val="0"/>
              <c:showSerName val="0"/>
              <c:showPercent val="0"/>
              <c:showBubbleSize val="0"/>
            </c:dLbl>
            <c:dLbl>
              <c:idx val="3"/>
              <c:layout>
                <c:manualLayout>
                  <c:x val="-2.3111463585037437E-2"/>
                  <c:y val="-7.5984691857651873E-2"/>
                </c:manualLayout>
              </c:layout>
              <c:showLegendKey val="0"/>
              <c:showVal val="1"/>
              <c:showCatName val="0"/>
              <c:showSerName val="0"/>
              <c:showPercent val="0"/>
              <c:showBubbleSize val="0"/>
            </c:dLbl>
            <c:dLbl>
              <c:idx val="4"/>
              <c:layout>
                <c:manualLayout>
                  <c:x val="6.9993768764515943E-3"/>
                  <c:y val="6.1626416809630637E-2"/>
                </c:manualLayout>
              </c:layout>
              <c:showLegendKey val="0"/>
              <c:showVal val="1"/>
              <c:showCatName val="0"/>
              <c:showSerName val="0"/>
              <c:showPercent val="0"/>
              <c:showBubbleSize val="0"/>
            </c:dLbl>
            <c:txPr>
              <a:bodyPr/>
              <a:lstStyle/>
              <a:p>
                <a:pPr>
                  <a:defRPr sz="110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Индекс потребительских цен</c:v>
                </c:pt>
                <c:pt idx="1">
                  <c:v>Индекс цен производителей промышленных товаров</c:v>
                </c:pt>
                <c:pt idx="2">
                  <c:v>Сводный индекс цен строительной продукции</c:v>
                </c:pt>
                <c:pt idx="3">
                  <c:v>Индекс цен производителей  сельскохозяйственной  продукции</c:v>
                </c:pt>
                <c:pt idx="4">
                  <c:v>Индекс тарифов на грузовые перевозки</c:v>
                </c:pt>
              </c:strCache>
            </c:strRef>
          </c:cat>
          <c:val>
            <c:numRef>
              <c:f>Sheet1!$B$3:$F$3</c:f>
              <c:numCache>
                <c:formatCode>0.0</c:formatCode>
                <c:ptCount val="5"/>
                <c:pt idx="0">
                  <c:v>107.7</c:v>
                </c:pt>
                <c:pt idx="1">
                  <c:v>93.2</c:v>
                </c:pt>
                <c:pt idx="2">
                  <c:v>106</c:v>
                </c:pt>
                <c:pt idx="3">
                  <c:v>110</c:v>
                </c:pt>
                <c:pt idx="4">
                  <c:v>115</c:v>
                </c:pt>
              </c:numCache>
            </c:numRef>
          </c:val>
        </c:ser>
        <c:dLbls>
          <c:showLegendKey val="0"/>
          <c:showVal val="1"/>
          <c:showCatName val="0"/>
          <c:showSerName val="0"/>
          <c:showPercent val="0"/>
          <c:showBubbleSize val="0"/>
        </c:dLbls>
        <c:axId val="180054656"/>
        <c:axId val="184390016"/>
      </c:radarChart>
      <c:catAx>
        <c:axId val="180054656"/>
        <c:scaling>
          <c:orientation val="minMax"/>
        </c:scaling>
        <c:delete val="0"/>
        <c:axPos val="b"/>
        <c:majorGridlines>
          <c:spPr>
            <a:ln w="2770">
              <a:solidFill>
                <a:srgbClr val="000000"/>
              </a:solidFill>
              <a:prstDash val="solid"/>
            </a:ln>
          </c:spPr>
        </c:majorGridlines>
        <c:numFmt formatCode="General" sourceLinked="1"/>
        <c:majorTickMark val="out"/>
        <c:minorTickMark val="none"/>
        <c:tickLblPos val="nextTo"/>
        <c:txPr>
          <a:bodyPr rot="0" vert="horz"/>
          <a:lstStyle/>
          <a:p>
            <a:pPr>
              <a:defRPr sz="872" b="1" i="0" u="none" strike="noStrike" baseline="0">
                <a:solidFill>
                  <a:srgbClr val="000000"/>
                </a:solidFill>
                <a:latin typeface="Times New Roman"/>
                <a:ea typeface="Times New Roman"/>
                <a:cs typeface="Times New Roman"/>
              </a:defRPr>
            </a:pPr>
            <a:endParaRPr lang="ru-RU"/>
          </a:p>
        </c:txPr>
        <c:crossAx val="184390016"/>
        <c:crosses val="autoZero"/>
        <c:auto val="0"/>
        <c:lblAlgn val="ctr"/>
        <c:lblOffset val="100"/>
        <c:noMultiLvlLbl val="0"/>
      </c:catAx>
      <c:valAx>
        <c:axId val="184390016"/>
        <c:scaling>
          <c:orientation val="minMax"/>
          <c:max val="125"/>
          <c:min val="70"/>
        </c:scaling>
        <c:delete val="0"/>
        <c:axPos val="l"/>
        <c:numFmt formatCode="0.0" sourceLinked="1"/>
        <c:majorTickMark val="none"/>
        <c:minorTickMark val="none"/>
        <c:tickLblPos val="none"/>
        <c:spPr>
          <a:ln w="2770">
            <a:solidFill>
              <a:srgbClr val="000000"/>
            </a:solidFill>
            <a:prstDash val="solid"/>
          </a:ln>
        </c:spPr>
        <c:crossAx val="180054656"/>
        <c:crosses val="autoZero"/>
        <c:crossBetween val="between"/>
        <c:majorUnit val="20"/>
        <c:minorUnit val="4"/>
      </c:valAx>
      <c:spPr>
        <a:noFill/>
        <a:ln w="22259">
          <a:noFill/>
        </a:ln>
      </c:spPr>
    </c:plotArea>
    <c:legend>
      <c:legendPos val="b"/>
      <c:layout>
        <c:manualLayout>
          <c:xMode val="edge"/>
          <c:yMode val="edge"/>
          <c:x val="3.0716645210223246E-2"/>
          <c:y val="0.90914661821118514"/>
          <c:w val="0.36393124945232425"/>
          <c:h val="6.1689376291207375E-2"/>
        </c:manualLayout>
      </c:layout>
      <c:overlay val="0"/>
      <c:spPr>
        <a:noFill/>
        <a:ln w="22163">
          <a:noFill/>
        </a:ln>
      </c:spPr>
      <c:txPr>
        <a:bodyPr/>
        <a:lstStyle/>
        <a:p>
          <a:pPr>
            <a:defRPr sz="873"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35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30"/>
      <c:rAngAx val="0"/>
      <c:perspective val="30"/>
    </c:view3D>
    <c:floor>
      <c:thickness val="0"/>
      <c:spPr>
        <a:solidFill>
          <a:srgbClr val="4BACC6">
            <a:lumMod val="20000"/>
            <a:lumOff val="80000"/>
            <a:alpha val="26000"/>
          </a:srgbClr>
        </a:solidFill>
      </c:spPr>
    </c:floor>
    <c:sideWall>
      <c:thickness val="0"/>
      <c:spPr>
        <a:solidFill>
          <a:srgbClr val="4BACC6">
            <a:lumMod val="20000"/>
            <a:lumOff val="80000"/>
            <a:alpha val="45000"/>
          </a:srgbClr>
        </a:solidFill>
      </c:spPr>
    </c:sideWall>
    <c:backWall>
      <c:thickness val="0"/>
      <c:spPr>
        <a:solidFill>
          <a:srgbClr val="4BACC6">
            <a:lumMod val="20000"/>
            <a:lumOff val="80000"/>
            <a:alpha val="45000"/>
          </a:srgbClr>
        </a:solidFill>
      </c:spPr>
    </c:backWall>
    <c:plotArea>
      <c:layout>
        <c:manualLayout>
          <c:layoutTarget val="inner"/>
          <c:xMode val="edge"/>
          <c:yMode val="edge"/>
          <c:x val="7.2479255310477497E-2"/>
          <c:y val="4.365079365079369E-2"/>
          <c:w val="0.92095075072137722"/>
          <c:h val="0.74827709036370504"/>
        </c:manualLayout>
      </c:layout>
      <c:bar3DChart>
        <c:barDir val="col"/>
        <c:grouping val="standard"/>
        <c:varyColors val="0"/>
        <c:ser>
          <c:idx val="0"/>
          <c:order val="0"/>
          <c:tx>
            <c:strRef>
              <c:f>Лист1!$B$1</c:f>
              <c:strCache>
                <c:ptCount val="1"/>
                <c:pt idx="0">
                  <c:v>Налоговые, неналоговые доходы</c:v>
                </c:pt>
              </c:strCache>
            </c:strRef>
          </c:tx>
          <c:spPr>
            <a:solidFill>
              <a:srgbClr val="00B0F0"/>
            </a:solidFill>
            <a:ln w="15875">
              <a:solidFill>
                <a:srgbClr val="000000"/>
              </a:solidFill>
            </a:ln>
            <a:effectLst>
              <a:outerShdw blurRad="50800" dist="50800" dir="5400000" algn="ctr" rotWithShape="0">
                <a:srgbClr val="4F81BD"/>
              </a:outerShdw>
            </a:effectLst>
          </c:spPr>
          <c:invertIfNegative val="0"/>
          <c:dLbls>
            <c:dLbl>
              <c:idx val="0"/>
              <c:layout>
                <c:manualLayout>
                  <c:x val="-2.3148330417031206E-2"/>
                  <c:y val="0"/>
                </c:manualLayout>
              </c:layout>
              <c:showLegendKey val="0"/>
              <c:showVal val="1"/>
              <c:showCatName val="0"/>
              <c:showSerName val="0"/>
              <c:showPercent val="0"/>
              <c:showBubbleSize val="0"/>
            </c:dLbl>
            <c:dLbl>
              <c:idx val="1"/>
              <c:layout>
                <c:manualLayout>
                  <c:x val="-3.9352034120734909E-2"/>
                  <c:y val="0.21031714785651806"/>
                </c:manualLayout>
              </c:layout>
              <c:showLegendKey val="0"/>
              <c:showVal val="1"/>
              <c:showCatName val="0"/>
              <c:showSerName val="0"/>
              <c:showPercent val="0"/>
              <c:showBubbleSize val="0"/>
            </c:dLbl>
            <c:dLbl>
              <c:idx val="2"/>
              <c:layout>
                <c:manualLayout>
                  <c:x val="-4.3981481481481483E-2"/>
                  <c:y val="0.25793588301462345"/>
                </c:manualLayout>
              </c:layout>
              <c:showLegendKey val="0"/>
              <c:showVal val="1"/>
              <c:showCatName val="0"/>
              <c:showSerName val="0"/>
              <c:showPercent val="0"/>
              <c:showBubbleSize val="0"/>
            </c:dLbl>
            <c:dLbl>
              <c:idx val="3"/>
              <c:layout>
                <c:manualLayout>
                  <c:x val="-4.3981481481481483E-2"/>
                  <c:y val="0.28571428571428603"/>
                </c:manualLayout>
              </c:layout>
              <c:showLegendKey val="0"/>
              <c:showVal val="1"/>
              <c:showCatName val="0"/>
              <c:showSerName val="0"/>
              <c:showPercent val="0"/>
              <c:showBubbleSize val="0"/>
            </c:dLbl>
            <c:dLbl>
              <c:idx val="4"/>
              <c:layout>
                <c:manualLayout>
                  <c:x val="-4.8611293379994168E-2"/>
                  <c:y val="0.31349175103112109"/>
                </c:manualLayout>
              </c:layout>
              <c:showLegendKey val="0"/>
              <c:showVal val="1"/>
              <c:showCatName val="0"/>
              <c:showSerName val="0"/>
              <c:showPercent val="0"/>
              <c:showBubbleSize val="0"/>
            </c:dLbl>
            <c:dLbl>
              <c:idx val="5"/>
              <c:layout>
                <c:manualLayout>
                  <c:x val="-6.2499999999999924E-2"/>
                  <c:y val="0.3412698412698418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2008 год</c:v>
                </c:pt>
                <c:pt idx="1">
                  <c:v>2009 год</c:v>
                </c:pt>
                <c:pt idx="2">
                  <c:v>2010 год</c:v>
                </c:pt>
                <c:pt idx="3">
                  <c:v>2011 год</c:v>
                </c:pt>
                <c:pt idx="4">
                  <c:v>2012 год</c:v>
                </c:pt>
                <c:pt idx="5">
                  <c:v>2013 год</c:v>
                </c:pt>
              </c:strCache>
            </c:strRef>
          </c:cat>
          <c:val>
            <c:numRef>
              <c:f>Лист1!$B$2:$B$7</c:f>
              <c:numCache>
                <c:formatCode>General</c:formatCode>
                <c:ptCount val="6"/>
                <c:pt idx="0">
                  <c:v>20222</c:v>
                </c:pt>
                <c:pt idx="1">
                  <c:v>23401</c:v>
                </c:pt>
                <c:pt idx="2">
                  <c:v>27636</c:v>
                </c:pt>
                <c:pt idx="3">
                  <c:v>31135</c:v>
                </c:pt>
                <c:pt idx="4">
                  <c:v>34599</c:v>
                </c:pt>
                <c:pt idx="5">
                  <c:v>35653.4</c:v>
                </c:pt>
              </c:numCache>
            </c:numRef>
          </c:val>
        </c:ser>
        <c:ser>
          <c:idx val="1"/>
          <c:order val="1"/>
          <c:tx>
            <c:strRef>
              <c:f>Лист1!$C$1</c:f>
              <c:strCache>
                <c:ptCount val="1"/>
                <c:pt idx="0">
                  <c:v>Безвозмездные поступления</c:v>
                </c:pt>
              </c:strCache>
            </c:strRef>
          </c:tx>
          <c:spPr>
            <a:solidFill>
              <a:srgbClr val="C00000"/>
            </a:solidFill>
            <a:ln w="15875">
              <a:solidFill>
                <a:srgbClr val="000000"/>
              </a:solidFill>
            </a:ln>
            <a:effectLst>
              <a:outerShdw blurRad="50800" dist="38100" dir="5400000" algn="t" rotWithShape="0">
                <a:prstClr val="black">
                  <a:alpha val="40000"/>
                </a:prstClr>
              </a:outerShdw>
            </a:effectLst>
          </c:spPr>
          <c:invertIfNegative val="0"/>
          <c:dLbls>
            <c:dLbl>
              <c:idx val="0"/>
              <c:layout>
                <c:manualLayout>
                  <c:x val="-2.083333333333336E-2"/>
                  <c:y val="0"/>
                </c:manualLayout>
              </c:layout>
              <c:showLegendKey val="0"/>
              <c:showVal val="1"/>
              <c:showCatName val="0"/>
              <c:showSerName val="0"/>
              <c:showPercent val="0"/>
              <c:showBubbleSize val="0"/>
            </c:dLbl>
            <c:dLbl>
              <c:idx val="1"/>
              <c:layout>
                <c:manualLayout>
                  <c:x val="-6.9446267133275513E-3"/>
                  <c:y val="3.9679415073115938E-3"/>
                </c:manualLayout>
              </c:layout>
              <c:showLegendKey val="0"/>
              <c:showVal val="1"/>
              <c:showCatName val="0"/>
              <c:showSerName val="0"/>
              <c:showPercent val="0"/>
              <c:showBubbleSize val="0"/>
            </c:dLbl>
            <c:dLbl>
              <c:idx val="2"/>
              <c:layout>
                <c:manualLayout>
                  <c:x val="0"/>
                  <c:y val="-1.1905074365704309E-2"/>
                </c:manualLayout>
              </c:layout>
              <c:showLegendKey val="0"/>
              <c:showVal val="1"/>
              <c:showCatName val="0"/>
              <c:showSerName val="0"/>
              <c:showPercent val="0"/>
              <c:showBubbleSize val="0"/>
            </c:dLbl>
            <c:dLbl>
              <c:idx val="3"/>
              <c:layout>
                <c:manualLayout>
                  <c:x val="6.944444444444451E-3"/>
                  <c:y val="-2.3809523809523812E-2"/>
                </c:manualLayout>
              </c:layout>
              <c:showLegendKey val="0"/>
              <c:showVal val="1"/>
              <c:showCatName val="0"/>
              <c:showSerName val="0"/>
              <c:showPercent val="0"/>
              <c:showBubbleSize val="0"/>
            </c:dLbl>
            <c:dLbl>
              <c:idx val="4"/>
              <c:layout>
                <c:manualLayout>
                  <c:x val="2.3148148148148147E-2"/>
                  <c:y val="-1.9841269841269861E-2"/>
                </c:manualLayout>
              </c:layout>
              <c:showLegendKey val="0"/>
              <c:showVal val="1"/>
              <c:showCatName val="0"/>
              <c:showSerName val="0"/>
              <c:showPercent val="0"/>
              <c:showBubbleSize val="0"/>
            </c:dLbl>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2008 год</c:v>
                </c:pt>
                <c:pt idx="1">
                  <c:v>2009 год</c:v>
                </c:pt>
                <c:pt idx="2">
                  <c:v>2010 год</c:v>
                </c:pt>
                <c:pt idx="3">
                  <c:v>2011 год</c:v>
                </c:pt>
                <c:pt idx="4">
                  <c:v>2012 год</c:v>
                </c:pt>
                <c:pt idx="5">
                  <c:v>2013 год</c:v>
                </c:pt>
              </c:strCache>
            </c:strRef>
          </c:cat>
          <c:val>
            <c:numRef>
              <c:f>Лист1!$C$2:$C$7</c:f>
              <c:numCache>
                <c:formatCode>General</c:formatCode>
                <c:ptCount val="6"/>
                <c:pt idx="0">
                  <c:v>15442</c:v>
                </c:pt>
                <c:pt idx="1">
                  <c:v>16815</c:v>
                </c:pt>
                <c:pt idx="2">
                  <c:v>17779</c:v>
                </c:pt>
                <c:pt idx="3">
                  <c:v>19393</c:v>
                </c:pt>
                <c:pt idx="4">
                  <c:v>17399</c:v>
                </c:pt>
                <c:pt idx="5">
                  <c:v>40063.800000000003</c:v>
                </c:pt>
              </c:numCache>
            </c:numRef>
          </c:val>
        </c:ser>
        <c:ser>
          <c:idx val="2"/>
          <c:order val="2"/>
          <c:tx>
            <c:strRef>
              <c:f>Лист1!$D$1</c:f>
              <c:strCache>
                <c:ptCount val="1"/>
                <c:pt idx="0">
                  <c:v>Ряд 3</c:v>
                </c:pt>
              </c:strCache>
            </c:strRef>
          </c:tx>
          <c:invertIfNegative val="0"/>
          <c:cat>
            <c:strRef>
              <c:f>Лист1!$A$2:$A$7</c:f>
              <c:strCache>
                <c:ptCount val="6"/>
                <c:pt idx="0">
                  <c:v>2008 год</c:v>
                </c:pt>
                <c:pt idx="1">
                  <c:v>2009 год</c:v>
                </c:pt>
                <c:pt idx="2">
                  <c:v>2010 год</c:v>
                </c:pt>
                <c:pt idx="3">
                  <c:v>2011 год</c:v>
                </c:pt>
                <c:pt idx="4">
                  <c:v>2012 год</c:v>
                </c:pt>
                <c:pt idx="5">
                  <c:v>2013 год</c:v>
                </c:pt>
              </c:strCache>
            </c:strRef>
          </c:cat>
          <c:val>
            <c:numRef>
              <c:f>Лист1!$D$2:$D$7</c:f>
            </c:numRef>
          </c:val>
        </c:ser>
        <c:dLbls>
          <c:showLegendKey val="0"/>
          <c:showVal val="0"/>
          <c:showCatName val="0"/>
          <c:showSerName val="0"/>
          <c:showPercent val="0"/>
          <c:showBubbleSize val="0"/>
        </c:dLbls>
        <c:gapWidth val="150"/>
        <c:shape val="cylinder"/>
        <c:axId val="184859264"/>
        <c:axId val="184889728"/>
        <c:axId val="184877056"/>
      </c:bar3DChart>
      <c:catAx>
        <c:axId val="184859264"/>
        <c:scaling>
          <c:orientation val="minMax"/>
        </c:scaling>
        <c:delete val="0"/>
        <c:axPos val="b"/>
        <c:majorTickMark val="out"/>
        <c:minorTickMark val="none"/>
        <c:tickLblPos val="nextTo"/>
        <c:txPr>
          <a:bodyPr/>
          <a:lstStyle/>
          <a:p>
            <a:pPr>
              <a:defRPr b="1" baseline="0">
                <a:latin typeface="Times New Roman" pitchFamily="18" charset="0"/>
              </a:defRPr>
            </a:pPr>
            <a:endParaRPr lang="ru-RU"/>
          </a:p>
        </c:txPr>
        <c:crossAx val="184889728"/>
        <c:crosses val="autoZero"/>
        <c:auto val="1"/>
        <c:lblAlgn val="ctr"/>
        <c:lblOffset val="100"/>
        <c:noMultiLvlLbl val="0"/>
      </c:catAx>
      <c:valAx>
        <c:axId val="184889728"/>
        <c:scaling>
          <c:orientation val="minMax"/>
        </c:scaling>
        <c:delete val="0"/>
        <c:axPos val="l"/>
        <c:majorGridlines>
          <c:spPr>
            <a:ln>
              <a:solidFill>
                <a:schemeClr val="accent4">
                  <a:lumMod val="40000"/>
                  <a:lumOff val="60000"/>
                </a:schemeClr>
              </a:solidFill>
            </a:ln>
          </c:spPr>
        </c:majorGridlines>
        <c:numFmt formatCode="General" sourceLinked="1"/>
        <c:majorTickMark val="out"/>
        <c:minorTickMark val="none"/>
        <c:tickLblPos val="nextTo"/>
        <c:txPr>
          <a:bodyPr/>
          <a:lstStyle/>
          <a:p>
            <a:pPr>
              <a:defRPr b="1" baseline="0">
                <a:latin typeface="Times New Roman" pitchFamily="18" charset="0"/>
              </a:defRPr>
            </a:pPr>
            <a:endParaRPr lang="ru-RU"/>
          </a:p>
        </c:txPr>
        <c:crossAx val="184859264"/>
        <c:crosses val="autoZero"/>
        <c:crossBetween val="between"/>
      </c:valAx>
      <c:serAx>
        <c:axId val="184877056"/>
        <c:scaling>
          <c:orientation val="minMax"/>
        </c:scaling>
        <c:delete val="1"/>
        <c:axPos val="b"/>
        <c:majorTickMark val="out"/>
        <c:minorTickMark val="none"/>
        <c:tickLblPos val="nextTo"/>
        <c:crossAx val="184889728"/>
        <c:crosses val="autoZero"/>
      </c:serAx>
      <c:spPr>
        <a:noFill/>
      </c:spPr>
    </c:plotArea>
    <c:legend>
      <c:legendPos val="b"/>
      <c:overlay val="0"/>
      <c:txPr>
        <a:bodyPr/>
        <a:lstStyle/>
        <a:p>
          <a:pPr>
            <a:defRPr b="1"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25"/>
      <c:rAngAx val="0"/>
      <c:perspective val="0"/>
    </c:view3D>
    <c:floor>
      <c:thickness val="0"/>
    </c:floor>
    <c:sideWall>
      <c:thickness val="0"/>
    </c:sideWall>
    <c:backWall>
      <c:thickness val="0"/>
    </c:backWall>
    <c:plotArea>
      <c:layout>
        <c:manualLayout>
          <c:layoutTarget val="inner"/>
          <c:xMode val="edge"/>
          <c:yMode val="edge"/>
          <c:x val="0.10154469188283979"/>
          <c:y val="6.5962588009832124E-2"/>
          <c:w val="0.88848026665378488"/>
          <c:h val="0.88205465671257954"/>
        </c:manualLayout>
      </c:layout>
      <c:pie3DChart>
        <c:varyColors val="1"/>
        <c:ser>
          <c:idx val="0"/>
          <c:order val="0"/>
          <c:tx>
            <c:strRef>
              <c:f>Sheet1!$A$2</c:f>
              <c:strCache>
                <c:ptCount val="1"/>
                <c:pt idx="0">
                  <c:v>Доля в %</c:v>
                </c:pt>
              </c:strCache>
            </c:strRef>
          </c:tx>
          <c:spPr>
            <a:ln w="12700">
              <a:solidFill>
                <a:srgbClr val="000000"/>
              </a:solidFill>
              <a:prstDash val="solid"/>
            </a:ln>
          </c:spPr>
          <c:explosion val="35"/>
          <c:dPt>
            <c:idx val="0"/>
            <c:bubble3D val="0"/>
            <c:spPr>
              <a:pattFill prst="ltVert">
                <a:fgClr>
                  <a:srgbClr val="00B050"/>
                </a:fgClr>
                <a:bgClr>
                  <a:srgbClr val="FFC000"/>
                </a:bgClr>
              </a:pattFill>
              <a:ln w="19050">
                <a:solidFill>
                  <a:srgbClr val="000000"/>
                </a:solidFill>
                <a:prstDash val="solid"/>
              </a:ln>
              <a:effectLst>
                <a:innerShdw blurRad="63500" dist="50800" dir="10800000">
                  <a:prstClr val="black">
                    <a:alpha val="50000"/>
                  </a:prstClr>
                </a:innerShdw>
              </a:effectLst>
            </c:spPr>
          </c:dPt>
          <c:dPt>
            <c:idx val="1"/>
            <c:bubble3D val="0"/>
            <c:spPr>
              <a:solidFill>
                <a:srgbClr val="FF0000"/>
              </a:solidFill>
              <a:ln w="12700">
                <a:solidFill>
                  <a:srgbClr val="000000"/>
                </a:solidFill>
                <a:prstDash val="solid"/>
              </a:ln>
            </c:spPr>
          </c:dPt>
          <c:dPt>
            <c:idx val="2"/>
            <c:bubble3D val="0"/>
            <c:spPr>
              <a:pattFill prst="dkUpDiag">
                <a:fgClr>
                  <a:srgbClr val="7030A0"/>
                </a:fgClr>
                <a:bgClr>
                  <a:sysClr val="window" lastClr="FFFFFF"/>
                </a:bgClr>
              </a:pattFill>
              <a:ln w="12700">
                <a:solidFill>
                  <a:srgbClr val="000000"/>
                </a:solidFill>
                <a:prstDash val="solid"/>
              </a:ln>
            </c:spPr>
          </c:dPt>
          <c:dLbls>
            <c:dLbl>
              <c:idx val="0"/>
              <c:layout>
                <c:manualLayout>
                  <c:x val="-6.5040650406504072E-2"/>
                  <c:y val="0.15886514185726822"/>
                </c:manualLayout>
              </c:layout>
              <c:showLegendKey val="0"/>
              <c:showVal val="1"/>
              <c:showCatName val="0"/>
              <c:showSerName val="0"/>
              <c:showPercent val="0"/>
              <c:showBubbleSize val="0"/>
            </c:dLbl>
            <c:dLbl>
              <c:idx val="1"/>
              <c:layout>
                <c:manualLayout>
                  <c:x val="-0.18153921003776993"/>
                  <c:y val="-9.7934841478148571E-2"/>
                </c:manualLayout>
              </c:layout>
              <c:showLegendKey val="0"/>
              <c:showVal val="1"/>
              <c:showCatName val="0"/>
              <c:showSerName val="0"/>
              <c:showPercent val="0"/>
              <c:showBubbleSize val="0"/>
            </c:dLbl>
            <c:dLbl>
              <c:idx val="2"/>
              <c:layout>
                <c:manualLayout>
                  <c:x val="-1.2812837419712871E-2"/>
                  <c:y val="-0.12984543598716969"/>
                </c:manualLayout>
              </c:layout>
              <c:showLegendKey val="0"/>
              <c:showVal val="1"/>
              <c:showCatName val="0"/>
              <c:showSerName val="0"/>
              <c:showPercent val="0"/>
              <c:showBubbleSize val="0"/>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Sheet1!$B$1:$D$1</c:f>
              <c:strCache>
                <c:ptCount val="3"/>
                <c:pt idx="0">
                  <c:v>Налоговые доходы</c:v>
                </c:pt>
                <c:pt idx="1">
                  <c:v>Неналоговые доходы</c:v>
                </c:pt>
                <c:pt idx="2">
                  <c:v>Безвозмездные поступления</c:v>
                </c:pt>
              </c:strCache>
            </c:strRef>
          </c:cat>
          <c:val>
            <c:numRef>
              <c:f>Sheet1!$B$2:$D$2</c:f>
              <c:numCache>
                <c:formatCode>0.0%</c:formatCode>
                <c:ptCount val="3"/>
                <c:pt idx="0">
                  <c:v>0.44</c:v>
                </c:pt>
                <c:pt idx="1">
                  <c:v>3.1000000000000021E-2</c:v>
                </c:pt>
                <c:pt idx="2">
                  <c:v>0.52900000000000003</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1.7344173441734435E-2"/>
          <c:y val="0.87371536891221879"/>
          <c:w val="0.95356251200307274"/>
          <c:h val="8.7432820897387811E-2"/>
        </c:manualLayout>
      </c:layout>
      <c:overlay val="0"/>
      <c:spPr>
        <a:noFill/>
        <a:ln w="3175">
          <a:noFill/>
          <a:prstDash val="solid"/>
        </a:ln>
      </c:spPr>
      <c:txPr>
        <a:bodyPr/>
        <a:lstStyle/>
        <a:p>
          <a:pPr>
            <a:defRPr sz="98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59"/>
      <c:rotY val="20"/>
      <c:depthPercent val="100"/>
      <c:rAngAx val="1"/>
    </c:view3D>
    <c:floor>
      <c:thickness val="0"/>
      <c:spPr>
        <a:solidFill>
          <a:srgbClr val="FFFFCC">
            <a:alpha val="67000"/>
          </a:srgbClr>
        </a:solidFill>
        <a:ln w="3175">
          <a:solidFill>
            <a:srgbClr val="000000"/>
          </a:solidFill>
          <a:prstDash val="solid"/>
        </a:ln>
      </c:spPr>
    </c:floor>
    <c:sideWall>
      <c:thickness val="0"/>
      <c:spPr>
        <a:solidFill>
          <a:srgbClr val="FFFFCC">
            <a:alpha val="50000"/>
          </a:srgbClr>
        </a:solidFill>
        <a:ln w="12700">
          <a:solidFill>
            <a:srgbClr val="FFFFFF"/>
          </a:solidFill>
          <a:prstDash val="solid"/>
        </a:ln>
      </c:spPr>
    </c:sideWall>
    <c:backWall>
      <c:thickness val="0"/>
      <c:spPr>
        <a:solidFill>
          <a:srgbClr val="FFFFCC">
            <a:alpha val="62000"/>
          </a:srgbClr>
        </a:solidFill>
        <a:ln w="12700">
          <a:solidFill>
            <a:srgbClr val="FFFFFF"/>
          </a:solidFill>
          <a:prstDash val="solid"/>
        </a:ln>
      </c:spPr>
    </c:backWall>
    <c:plotArea>
      <c:layout>
        <c:manualLayout>
          <c:layoutTarget val="inner"/>
          <c:xMode val="edge"/>
          <c:yMode val="edge"/>
          <c:x val="4.878693763934186E-2"/>
          <c:y val="2.7999389984508818E-2"/>
          <c:w val="0.92066755158060232"/>
          <c:h val="0.81405612759943469"/>
        </c:manualLayout>
      </c:layout>
      <c:bar3DChart>
        <c:barDir val="col"/>
        <c:grouping val="standard"/>
        <c:varyColors val="0"/>
        <c:ser>
          <c:idx val="0"/>
          <c:order val="0"/>
          <c:tx>
            <c:strRef>
              <c:f>Sheet1!$A$2</c:f>
              <c:strCache>
                <c:ptCount val="1"/>
                <c:pt idx="0">
                  <c:v>план </c:v>
                </c:pt>
              </c:strCache>
            </c:strRef>
          </c:tx>
          <c:spPr>
            <a:solidFill>
              <a:srgbClr val="4BACC6">
                <a:lumMod val="20000"/>
                <a:lumOff val="80000"/>
              </a:srgbClr>
            </a:solidFill>
            <a:ln w="12666">
              <a:solidFill>
                <a:srgbClr val="002060"/>
              </a:solidFill>
              <a:prstDash val="solid"/>
            </a:ln>
          </c:spPr>
          <c:invertIfNegative val="0"/>
          <c:dPt>
            <c:idx val="1"/>
            <c:invertIfNegative val="0"/>
            <c:bubble3D val="0"/>
            <c:spPr>
              <a:solidFill>
                <a:srgbClr val="4BACC6">
                  <a:lumMod val="20000"/>
                  <a:lumOff val="80000"/>
                </a:srgbClr>
              </a:solidFill>
              <a:ln w="12666">
                <a:solidFill>
                  <a:srgbClr val="002060"/>
                </a:solidFill>
                <a:prstDash val="solid"/>
              </a:ln>
            </c:spPr>
          </c:dPt>
          <c:dPt>
            <c:idx val="2"/>
            <c:invertIfNegative val="0"/>
            <c:bubble3D val="0"/>
            <c:spPr>
              <a:solidFill>
                <a:srgbClr val="4BACC6">
                  <a:lumMod val="20000"/>
                  <a:lumOff val="80000"/>
                </a:srgbClr>
              </a:solidFill>
              <a:ln w="12666">
                <a:solidFill>
                  <a:srgbClr val="002060"/>
                </a:solidFill>
                <a:prstDash val="solid"/>
              </a:ln>
            </c:spPr>
          </c:dPt>
          <c:dPt>
            <c:idx val="3"/>
            <c:invertIfNegative val="0"/>
            <c:bubble3D val="0"/>
            <c:spPr>
              <a:solidFill>
                <a:srgbClr val="4BACC6">
                  <a:lumMod val="20000"/>
                  <a:lumOff val="80000"/>
                </a:srgbClr>
              </a:solidFill>
              <a:ln w="12666">
                <a:solidFill>
                  <a:srgbClr val="002060"/>
                </a:solidFill>
                <a:prstDash val="solid"/>
              </a:ln>
            </c:spPr>
          </c:dPt>
          <c:dPt>
            <c:idx val="4"/>
            <c:invertIfNegative val="0"/>
            <c:bubble3D val="0"/>
            <c:spPr>
              <a:solidFill>
                <a:srgbClr val="4BACC6">
                  <a:lumMod val="20000"/>
                  <a:lumOff val="80000"/>
                </a:srgbClr>
              </a:solidFill>
              <a:ln w="12666">
                <a:solidFill>
                  <a:srgbClr val="002060"/>
                </a:solidFill>
                <a:prstDash val="solid"/>
              </a:ln>
            </c:spPr>
          </c:dPt>
          <c:dLbls>
            <c:dLbl>
              <c:idx val="0"/>
              <c:layout>
                <c:manualLayout>
                  <c:x val="-1.4265860535415203E-2"/>
                  <c:y val="0.20075386410032206"/>
                </c:manualLayout>
              </c:layout>
              <c:showLegendKey val="1"/>
              <c:showVal val="1"/>
              <c:showCatName val="0"/>
              <c:showSerName val="0"/>
              <c:showPercent val="0"/>
              <c:showBubbleSize val="0"/>
            </c:dLbl>
            <c:dLbl>
              <c:idx val="1"/>
              <c:layout>
                <c:manualLayout>
                  <c:x val="-6.0407833636180134E-3"/>
                  <c:y val="0.23430446194225721"/>
                </c:manualLayout>
              </c:layout>
              <c:showLegendKey val="1"/>
              <c:showVal val="1"/>
              <c:showCatName val="0"/>
              <c:showSerName val="0"/>
              <c:showPercent val="0"/>
              <c:showBubbleSize val="0"/>
            </c:dLbl>
            <c:dLbl>
              <c:idx val="2"/>
              <c:layout>
                <c:manualLayout>
                  <c:x val="-7.5703957627227952E-3"/>
                  <c:y val="0.25798614622713445"/>
                </c:manualLayout>
              </c:layout>
              <c:showLegendKey val="1"/>
              <c:showVal val="1"/>
              <c:showCatName val="0"/>
              <c:showSerName val="0"/>
              <c:showPercent val="0"/>
              <c:showBubbleSize val="0"/>
            </c:dLbl>
            <c:dLbl>
              <c:idx val="3"/>
              <c:layout>
                <c:manualLayout>
                  <c:x val="-1.5777585903235143E-2"/>
                  <c:y val="0.29919779258361934"/>
                </c:manualLayout>
              </c:layout>
              <c:showLegendKey val="1"/>
              <c:showVal val="1"/>
              <c:showCatName val="0"/>
              <c:showSerName val="0"/>
              <c:showPercent val="0"/>
              <c:showBubbleSize val="0"/>
            </c:dLbl>
            <c:dLbl>
              <c:idx val="4"/>
              <c:layout>
                <c:manualLayout>
                  <c:x val="-1.1168816663874462E-2"/>
                  <c:y val="0.18669235152945352"/>
                </c:manualLayout>
              </c:layout>
              <c:showLegendKey val="1"/>
              <c:showVal val="1"/>
              <c:showCatName val="0"/>
              <c:showSerName val="0"/>
              <c:showPercent val="0"/>
              <c:showBubbleSize val="0"/>
            </c:dLbl>
            <c:dLbl>
              <c:idx val="5"/>
              <c:layout>
                <c:manualLayout>
                  <c:x val="-1.3093289689034381E-2"/>
                  <c:y val="0.21610601427115189"/>
                </c:manualLayout>
              </c:layout>
              <c:showLegendKey val="1"/>
              <c:showVal val="1"/>
              <c:showCatName val="0"/>
              <c:showSerName val="0"/>
              <c:showPercent val="0"/>
              <c:showBubbleSize val="0"/>
            </c:dLbl>
            <c:spPr>
              <a:noFill/>
              <a:ln w="25331">
                <a:noFill/>
              </a:ln>
            </c:spPr>
            <c:txPr>
              <a:bodyPr/>
              <a:lstStyle/>
              <a:p>
                <a:pPr>
                  <a:defRPr sz="1047" b="1" i="0" u="none" strike="noStrike" baseline="0">
                    <a:solidFill>
                      <a:srgbClr val="000000"/>
                    </a:solidFill>
                    <a:latin typeface="Times New Roman" pitchFamily="18" charset="0"/>
                    <a:ea typeface="Arial Cyr"/>
                    <a:cs typeface="Times New Roman" pitchFamily="18" charset="0"/>
                  </a:defRPr>
                </a:pPr>
                <a:endParaRPr lang="ru-RU"/>
              </a:p>
            </c:txPr>
            <c:showLegendKey val="1"/>
            <c:showVal val="1"/>
            <c:showCatName val="0"/>
            <c:showSerName val="0"/>
            <c:showPercent val="0"/>
            <c:showBubbleSize val="0"/>
            <c:showLeaderLines val="0"/>
          </c:dLbls>
          <c:cat>
            <c:numRef>
              <c:f>Sheet1!$B$1:$G$1</c:f>
              <c:numCache>
                <c:formatCode>General</c:formatCode>
                <c:ptCount val="6"/>
                <c:pt idx="0">
                  <c:v>2008</c:v>
                </c:pt>
                <c:pt idx="1">
                  <c:v>2009</c:v>
                </c:pt>
                <c:pt idx="2">
                  <c:v>2010</c:v>
                </c:pt>
                <c:pt idx="3">
                  <c:v>2011</c:v>
                </c:pt>
                <c:pt idx="4">
                  <c:v>2012</c:v>
                </c:pt>
                <c:pt idx="5">
                  <c:v>2013</c:v>
                </c:pt>
              </c:numCache>
            </c:numRef>
          </c:cat>
          <c:val>
            <c:numRef>
              <c:f>Sheet1!$B$2:$G$2</c:f>
              <c:numCache>
                <c:formatCode>General</c:formatCode>
                <c:ptCount val="6"/>
                <c:pt idx="0">
                  <c:v>43.6</c:v>
                </c:pt>
                <c:pt idx="1">
                  <c:v>43</c:v>
                </c:pt>
                <c:pt idx="2">
                  <c:v>40</c:v>
                </c:pt>
                <c:pt idx="3">
                  <c:v>34</c:v>
                </c:pt>
                <c:pt idx="4">
                  <c:v>22.8</c:v>
                </c:pt>
                <c:pt idx="5">
                  <c:v>35.200000000000003</c:v>
                </c:pt>
              </c:numCache>
            </c:numRef>
          </c:val>
        </c:ser>
        <c:ser>
          <c:idx val="1"/>
          <c:order val="1"/>
          <c:tx>
            <c:strRef>
              <c:f>Sheet1!$A$3</c:f>
              <c:strCache>
                <c:ptCount val="1"/>
                <c:pt idx="0">
                  <c:v>исполнено </c:v>
                </c:pt>
              </c:strCache>
            </c:strRef>
          </c:tx>
          <c:spPr>
            <a:solidFill>
              <a:srgbClr val="4BACC6">
                <a:lumMod val="75000"/>
              </a:srgbClr>
            </a:solidFill>
            <a:ln w="12666">
              <a:solidFill>
                <a:srgbClr val="002060"/>
              </a:solidFill>
              <a:prstDash val="solid"/>
            </a:ln>
            <a:effectLst>
              <a:outerShdw dist="35921" dir="2700000" algn="br">
                <a:srgbClr val="000000"/>
              </a:outerShdw>
            </a:effectLst>
          </c:spPr>
          <c:invertIfNegative val="0"/>
          <c:dLbls>
            <c:dLbl>
              <c:idx val="0"/>
              <c:layout>
                <c:manualLayout>
                  <c:x val="3.9717686680326991E-2"/>
                  <c:y val="-7.6683763153459025E-2"/>
                </c:manualLayout>
              </c:layout>
              <c:tx>
                <c:rich>
                  <a:bodyPr/>
                  <a:lstStyle/>
                  <a:p>
                    <a:r>
                      <a:rPr lang="ru-RU">
                        <a:latin typeface="Times New Roman" pitchFamily="18" charset="0"/>
                        <a:cs typeface="Times New Roman" pitchFamily="18" charset="0"/>
                      </a:rPr>
                      <a:t>42,9</a:t>
                    </a:r>
                  </a:p>
                </c:rich>
              </c:tx>
              <c:showLegendKey val="1"/>
              <c:showVal val="0"/>
              <c:showCatName val="0"/>
              <c:showSerName val="0"/>
              <c:showPercent val="0"/>
              <c:showBubbleSize val="0"/>
            </c:dLbl>
            <c:dLbl>
              <c:idx val="1"/>
              <c:layout>
                <c:manualLayout>
                  <c:x val="4.1276681658655189E-2"/>
                  <c:y val="-7.5413325627874492E-2"/>
                </c:manualLayout>
              </c:layout>
              <c:tx>
                <c:rich>
                  <a:bodyPr/>
                  <a:lstStyle/>
                  <a:p>
                    <a:r>
                      <a:rPr lang="ru-RU">
                        <a:latin typeface="Times New Roman" pitchFamily="18" charset="0"/>
                        <a:cs typeface="Times New Roman" pitchFamily="18" charset="0"/>
                      </a:rPr>
                      <a:t>43,3</a:t>
                    </a:r>
                  </a:p>
                </c:rich>
              </c:tx>
              <c:showLegendKey val="1"/>
              <c:showVal val="0"/>
              <c:showCatName val="0"/>
              <c:showSerName val="0"/>
              <c:showPercent val="0"/>
              <c:showBubbleSize val="0"/>
            </c:dLbl>
            <c:dLbl>
              <c:idx val="2"/>
              <c:layout>
                <c:manualLayout>
                  <c:x val="3.1912745767662842E-2"/>
                  <c:y val="-7.460328926774068E-2"/>
                </c:manualLayout>
              </c:layout>
              <c:showLegendKey val="1"/>
              <c:showVal val="1"/>
              <c:showCatName val="0"/>
              <c:showSerName val="0"/>
              <c:showPercent val="0"/>
              <c:showBubbleSize val="0"/>
            </c:dLbl>
            <c:dLbl>
              <c:idx val="3"/>
              <c:layout>
                <c:manualLayout>
                  <c:x val="4.0650540613683471E-2"/>
                  <c:y val="-8.7892637273551677E-2"/>
                </c:manualLayout>
              </c:layout>
              <c:showLegendKey val="1"/>
              <c:showVal val="1"/>
              <c:showCatName val="0"/>
              <c:showSerName val="0"/>
              <c:showPercent val="0"/>
              <c:showBubbleSize val="0"/>
            </c:dLbl>
            <c:dLbl>
              <c:idx val="4"/>
              <c:layout>
                <c:manualLayout>
                  <c:x val="4.9507412228136025E-2"/>
                  <c:y val="-7.552730220649026E-2"/>
                </c:manualLayout>
              </c:layout>
              <c:showLegendKey val="1"/>
              <c:showVal val="1"/>
              <c:showCatName val="0"/>
              <c:showSerName val="0"/>
              <c:showPercent val="0"/>
              <c:showBubbleSize val="0"/>
            </c:dLbl>
            <c:dLbl>
              <c:idx val="5"/>
              <c:layout>
                <c:manualLayout>
                  <c:x val="3.4915439170758317E-2"/>
                  <c:y val="-6.5239551478083579E-2"/>
                </c:manualLayout>
              </c:layout>
              <c:showLegendKey val="1"/>
              <c:showVal val="1"/>
              <c:showCatName val="0"/>
              <c:showSerName val="0"/>
              <c:showPercent val="0"/>
              <c:showBubbleSize val="0"/>
            </c:dLbl>
            <c:spPr>
              <a:noFill/>
              <a:ln w="25331">
                <a:noFill/>
              </a:ln>
            </c:spPr>
            <c:txPr>
              <a:bodyPr/>
              <a:lstStyle/>
              <a:p>
                <a:pPr>
                  <a:defRPr sz="1047" b="1" i="0" u="none" strike="noStrike" baseline="0">
                    <a:solidFill>
                      <a:srgbClr val="000000"/>
                    </a:solidFill>
                    <a:latin typeface="Times New Roman" pitchFamily="18" charset="0"/>
                    <a:ea typeface="Arial Cyr"/>
                    <a:cs typeface="Times New Roman" pitchFamily="18" charset="0"/>
                  </a:defRPr>
                </a:pPr>
                <a:endParaRPr lang="ru-RU"/>
              </a:p>
            </c:txPr>
            <c:showLegendKey val="1"/>
            <c:showVal val="1"/>
            <c:showCatName val="0"/>
            <c:showSerName val="0"/>
            <c:showPercent val="0"/>
            <c:showBubbleSize val="0"/>
            <c:showLeaderLines val="0"/>
          </c:dLbls>
          <c:cat>
            <c:numRef>
              <c:f>Sheet1!$B$1:$G$1</c:f>
              <c:numCache>
                <c:formatCode>General</c:formatCode>
                <c:ptCount val="6"/>
                <c:pt idx="0">
                  <c:v>2008</c:v>
                </c:pt>
                <c:pt idx="1">
                  <c:v>2009</c:v>
                </c:pt>
                <c:pt idx="2">
                  <c:v>2010</c:v>
                </c:pt>
                <c:pt idx="3">
                  <c:v>2011</c:v>
                </c:pt>
                <c:pt idx="4">
                  <c:v>2012</c:v>
                </c:pt>
                <c:pt idx="5">
                  <c:v>2013</c:v>
                </c:pt>
              </c:numCache>
            </c:numRef>
          </c:cat>
          <c:val>
            <c:numRef>
              <c:f>Sheet1!$B$3:$G$3</c:f>
              <c:numCache>
                <c:formatCode>General</c:formatCode>
                <c:ptCount val="6"/>
                <c:pt idx="0">
                  <c:v>43.3</c:v>
                </c:pt>
                <c:pt idx="1">
                  <c:v>41.8</c:v>
                </c:pt>
                <c:pt idx="2">
                  <c:v>39.1</c:v>
                </c:pt>
                <c:pt idx="3">
                  <c:v>38.4</c:v>
                </c:pt>
                <c:pt idx="4">
                  <c:v>33.5</c:v>
                </c:pt>
                <c:pt idx="5">
                  <c:v>52.9</c:v>
                </c:pt>
              </c:numCache>
            </c:numRef>
          </c:val>
        </c:ser>
        <c:dLbls>
          <c:showLegendKey val="0"/>
          <c:showVal val="0"/>
          <c:showCatName val="0"/>
          <c:showSerName val="0"/>
          <c:showPercent val="0"/>
          <c:showBubbleSize val="0"/>
        </c:dLbls>
        <c:gapWidth val="150"/>
        <c:gapDepth val="0"/>
        <c:shape val="box"/>
        <c:axId val="190136704"/>
        <c:axId val="190138240"/>
        <c:axId val="184879744"/>
      </c:bar3DChart>
      <c:catAx>
        <c:axId val="19013670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050" b="1" i="0" u="none" strike="noStrike" baseline="0">
                <a:solidFill>
                  <a:srgbClr val="000000"/>
                </a:solidFill>
                <a:latin typeface="Times New Roman" pitchFamily="18" charset="0"/>
                <a:ea typeface="Arial Cyr"/>
                <a:cs typeface="Times New Roman" pitchFamily="18" charset="0"/>
              </a:defRPr>
            </a:pPr>
            <a:endParaRPr lang="ru-RU"/>
          </a:p>
        </c:txPr>
        <c:crossAx val="190138240"/>
        <c:crosses val="autoZero"/>
        <c:auto val="1"/>
        <c:lblAlgn val="ctr"/>
        <c:lblOffset val="100"/>
        <c:tickLblSkip val="1"/>
        <c:tickMarkSkip val="1"/>
        <c:noMultiLvlLbl val="0"/>
      </c:catAx>
      <c:valAx>
        <c:axId val="190138240"/>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00" b="1" i="0" u="none" strike="noStrike" baseline="0">
                <a:solidFill>
                  <a:srgbClr val="000000"/>
                </a:solidFill>
                <a:latin typeface="Times New Roman" pitchFamily="18" charset="0"/>
                <a:ea typeface="Arial Cyr"/>
                <a:cs typeface="Times New Roman" pitchFamily="18" charset="0"/>
              </a:defRPr>
            </a:pPr>
            <a:endParaRPr lang="ru-RU"/>
          </a:p>
        </c:txPr>
        <c:crossAx val="190136704"/>
        <c:crosses val="autoZero"/>
        <c:crossBetween val="between"/>
      </c:valAx>
      <c:serAx>
        <c:axId val="184879744"/>
        <c:scaling>
          <c:orientation val="minMax"/>
        </c:scaling>
        <c:delete val="1"/>
        <c:axPos val="b"/>
        <c:majorTickMark val="out"/>
        <c:minorTickMark val="none"/>
        <c:tickLblPos val="none"/>
        <c:crossAx val="190138240"/>
        <c:crosses val="autoZero"/>
      </c:serAx>
      <c:spPr>
        <a:noFill/>
        <a:ln w="25331">
          <a:noFill/>
        </a:ln>
      </c:spPr>
    </c:plotArea>
    <c:legend>
      <c:legendPos val="b"/>
      <c:layout>
        <c:manualLayout>
          <c:xMode val="edge"/>
          <c:yMode val="edge"/>
          <c:x val="0.37614409491776085"/>
          <c:y val="0.94032404603270769"/>
          <c:w val="0.24771181016448349"/>
          <c:h val="5.9675953967292548E-2"/>
        </c:manualLayout>
      </c:layout>
      <c:overlay val="0"/>
      <c:spPr>
        <a:noFill/>
        <a:ln w="3166">
          <a:noFill/>
          <a:prstDash val="solid"/>
        </a:ln>
      </c:spPr>
      <c:txPr>
        <a:bodyPr/>
        <a:lstStyle/>
        <a:p>
          <a:pPr rtl="0">
            <a:defRPr sz="1000" b="1" i="0" u="none" strike="noStrike" baseline="0">
              <a:solidFill>
                <a:srgbClr val="000000"/>
              </a:solidFill>
              <a:latin typeface="Times New Roman" pitchFamily="18" charset="0"/>
              <a:ea typeface="Arial Cyr"/>
              <a:cs typeface="Arial Cyr"/>
            </a:defRPr>
          </a:pPr>
          <a:endParaRPr lang="ru-RU"/>
        </a:p>
      </c:txPr>
    </c:legend>
    <c:plotVisOnly val="1"/>
    <c:dispBlanksAs val="gap"/>
    <c:showDLblsOverMax val="0"/>
  </c:chart>
  <c:spPr>
    <a:noFill/>
    <a:ln>
      <a:noFill/>
    </a:ln>
  </c:spPr>
  <c:txPr>
    <a:bodyPr/>
    <a:lstStyle/>
    <a:p>
      <a:pPr>
        <a:defRPr sz="157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920140088389103"/>
          <c:y val="3.8023951459508855E-2"/>
          <c:w val="0.73286398958072752"/>
          <c:h val="0.96197604854049112"/>
        </c:manualLayout>
      </c:layout>
      <c:pie3DChart>
        <c:varyColors val="1"/>
        <c:ser>
          <c:idx val="0"/>
          <c:order val="0"/>
          <c:tx>
            <c:strRef>
              <c:f>Лист1!$B$1</c:f>
              <c:strCache>
                <c:ptCount val="1"/>
                <c:pt idx="0">
                  <c:v>Столбец1</c:v>
                </c:pt>
              </c:strCache>
            </c:strRef>
          </c:tx>
          <c:spPr>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explosion val="46"/>
          <c:dPt>
            <c:idx val="0"/>
            <c:bubble3D val="0"/>
            <c:spPr>
              <a:solidFill>
                <a:schemeClr val="tx2">
                  <a:lumMod val="60000"/>
                  <a:lumOff val="40000"/>
                </a:schemeClr>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3"/>
            <c:bubble3D val="0"/>
            <c:spPr>
              <a:solidFill>
                <a:srgbClr val="00B0F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prstMaterial="flat"/>
            </c:spPr>
          </c:dPt>
          <c:dPt>
            <c:idx val="4"/>
            <c:bubble3D val="0"/>
            <c:explosion val="47"/>
            <c:spPr>
              <a:solidFill>
                <a:srgbClr val="00B05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5"/>
            <c:bubble3D val="0"/>
            <c:spPr>
              <a:solidFill>
                <a:srgbClr val="00206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6"/>
            <c:bubble3D val="0"/>
            <c:spPr>
              <a:solidFill>
                <a:srgbClr val="FFFF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a:bevelT/>
                <a:bevelB/>
              </a:sp3d>
            </c:spPr>
          </c:dPt>
          <c:dPt>
            <c:idx val="7"/>
            <c:bubble3D val="0"/>
            <c:spPr>
              <a:solidFill>
                <a:srgbClr val="7030A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8"/>
            <c:bubble3D val="0"/>
            <c:spPr>
              <a:solidFill>
                <a:srgbClr val="FF00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9"/>
            <c:bubble3D val="0"/>
            <c:spPr>
              <a:solidFill>
                <a:srgbClr val="FFC0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prstMaterial="matte"/>
            </c:spPr>
          </c:dPt>
          <c:dPt>
            <c:idx val="11"/>
            <c:bubble3D val="0"/>
            <c:spPr>
              <a:solidFill>
                <a:srgbClr val="C0504D">
                  <a:lumMod val="40000"/>
                  <a:lumOff val="60000"/>
                </a:srgbClr>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Lbls>
            <c:dLbl>
              <c:idx val="0"/>
              <c:layout>
                <c:manualLayout>
                  <c:x val="2.7368855746284435E-2"/>
                  <c:y val="-0.14100268842912855"/>
                </c:manualLayout>
              </c:layout>
              <c:showLegendKey val="1"/>
              <c:showVal val="1"/>
              <c:showCatName val="1"/>
              <c:showSerName val="0"/>
              <c:showPercent val="0"/>
              <c:showBubbleSize val="0"/>
            </c:dLbl>
            <c:dLbl>
              <c:idx val="1"/>
              <c:layout>
                <c:manualLayout>
                  <c:x val="0.101468148554048"/>
                  <c:y val="2.7115942490994293E-3"/>
                </c:manualLayout>
              </c:layout>
              <c:showLegendKey val="1"/>
              <c:showVal val="1"/>
              <c:showCatName val="1"/>
              <c:showSerName val="0"/>
              <c:showPercent val="0"/>
              <c:showBubbleSize val="0"/>
            </c:dLbl>
            <c:dLbl>
              <c:idx val="2"/>
              <c:layout>
                <c:manualLayout>
                  <c:x val="1.0676101190830723E-2"/>
                  <c:y val="1.9088696908837813E-2"/>
                </c:manualLayout>
              </c:layout>
              <c:showLegendKey val="1"/>
              <c:showVal val="1"/>
              <c:showCatName val="1"/>
              <c:showSerName val="0"/>
              <c:showPercent val="0"/>
              <c:showBubbleSize val="0"/>
            </c:dLbl>
            <c:dLbl>
              <c:idx val="3"/>
              <c:layout>
                <c:manualLayout>
                  <c:x val="1.5106039127862422E-2"/>
                  <c:y val="5.5254125622961101E-2"/>
                </c:manualLayout>
              </c:layout>
              <c:showLegendKey val="1"/>
              <c:showVal val="1"/>
              <c:showCatName val="1"/>
              <c:showSerName val="0"/>
              <c:showPercent val="0"/>
              <c:showBubbleSize val="0"/>
            </c:dLbl>
            <c:dLbl>
              <c:idx val="4"/>
              <c:layout>
                <c:manualLayout>
                  <c:x val="-5.8116510020211162E-2"/>
                  <c:y val="0.12521597755746119"/>
                </c:manualLayout>
              </c:layout>
              <c:showLegendKey val="1"/>
              <c:showVal val="1"/>
              <c:showCatName val="1"/>
              <c:showSerName val="0"/>
              <c:showPercent val="0"/>
              <c:showBubbleSize val="0"/>
            </c:dLbl>
            <c:dLbl>
              <c:idx val="5"/>
              <c:layout>
                <c:manualLayout>
                  <c:x val="-4.3647063027862816E-2"/>
                  <c:y val="0.13071567471070164"/>
                </c:manualLayout>
              </c:layout>
              <c:showLegendKey val="1"/>
              <c:showVal val="1"/>
              <c:showCatName val="1"/>
              <c:showSerName val="0"/>
              <c:showPercent val="0"/>
              <c:showBubbleSize val="0"/>
            </c:dLbl>
            <c:dLbl>
              <c:idx val="6"/>
              <c:layout>
                <c:manualLayout>
                  <c:x val="-5.5272969850024415E-4"/>
                  <c:y val="0.12326606947410935"/>
                </c:manualLayout>
              </c:layout>
              <c:showLegendKey val="1"/>
              <c:showVal val="1"/>
              <c:showCatName val="1"/>
              <c:showSerName val="0"/>
              <c:showPercent val="0"/>
              <c:showBubbleSize val="0"/>
            </c:dLbl>
            <c:dLbl>
              <c:idx val="7"/>
              <c:layout>
                <c:manualLayout>
                  <c:x val="0"/>
                  <c:y val="9.4695824965199182E-2"/>
                </c:manualLayout>
              </c:layout>
              <c:showLegendKey val="1"/>
              <c:showVal val="1"/>
              <c:showCatName val="1"/>
              <c:showSerName val="0"/>
              <c:showPercent val="0"/>
              <c:showBubbleSize val="0"/>
            </c:dLbl>
            <c:dLbl>
              <c:idx val="8"/>
              <c:layout>
                <c:manualLayout>
                  <c:x val="-5.6915434738585062E-2"/>
                  <c:y val="6.6771441019265299E-2"/>
                </c:manualLayout>
              </c:layout>
              <c:showLegendKey val="1"/>
              <c:showVal val="1"/>
              <c:showCatName val="1"/>
              <c:showSerName val="0"/>
              <c:showPercent val="0"/>
              <c:showBubbleSize val="0"/>
            </c:dLbl>
            <c:dLbl>
              <c:idx val="9"/>
              <c:layout>
                <c:manualLayout>
                  <c:x val="-0.22780675108500997"/>
                  <c:y val="4.9880242702455689E-2"/>
                </c:manualLayout>
              </c:layout>
              <c:showLegendKey val="1"/>
              <c:showVal val="1"/>
              <c:showCatName val="1"/>
              <c:showSerName val="0"/>
              <c:showPercent val="0"/>
              <c:showBubbleSize val="0"/>
            </c:dLbl>
            <c:dLbl>
              <c:idx val="10"/>
              <c:layout>
                <c:manualLayout>
                  <c:x val="-0.1641916923773333"/>
                  <c:y val="-7.2807761378005889E-2"/>
                </c:manualLayout>
              </c:layout>
              <c:showLegendKey val="1"/>
              <c:showVal val="1"/>
              <c:showCatName val="1"/>
              <c:showSerName val="0"/>
              <c:showPercent val="0"/>
              <c:showBubbleSize val="0"/>
            </c:dLbl>
            <c:dLbl>
              <c:idx val="11"/>
              <c:layout>
                <c:manualLayout>
                  <c:x val="1.5480084656588899E-2"/>
                  <c:y val="-6.0662012390151634E-2"/>
                </c:manualLayout>
              </c:layout>
              <c:showLegendKey val="1"/>
              <c:showVal val="1"/>
              <c:showCatName val="1"/>
              <c:showSerName val="0"/>
              <c:showPercent val="0"/>
              <c:showBubbleSize val="0"/>
            </c:dLbl>
            <c:dLbl>
              <c:idx val="12"/>
              <c:layout>
                <c:manualLayout>
                  <c:x val="-3.4382010871939436E-3"/>
                  <c:y val="-0.12899806002510567"/>
                </c:manualLayout>
              </c:layout>
              <c:showLegendKey val="1"/>
              <c:showVal val="1"/>
              <c:showCatName val="1"/>
              <c:showSerName val="0"/>
              <c:showPercent val="0"/>
              <c:showBubbleSize val="0"/>
            </c:dLbl>
            <c:txPr>
              <a:bodyPr/>
              <a:lstStyle/>
              <a:p>
                <a:pPr>
                  <a:defRPr sz="1000" b="1" baseline="0">
                    <a:latin typeface="Times New Roman" pitchFamily="18" charset="0"/>
                  </a:defRPr>
                </a:pPr>
                <a:endParaRPr lang="ru-RU"/>
              </a:p>
            </c:txPr>
            <c:showLegendKey val="1"/>
            <c:showVal val="1"/>
            <c:showCatName val="1"/>
            <c:showSerName val="0"/>
            <c:showPercent val="0"/>
            <c:showBubbleSize val="0"/>
            <c:showLeaderLines val="1"/>
          </c:dLbls>
          <c:cat>
            <c:strRef>
              <c:f>Лист1!$A$2:$A$13</c:f>
              <c:strCache>
                <c:ptCount val="12"/>
                <c:pt idx="0">
                  <c:v>Общегосударственные вопросы </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 </c:v>
                </c:pt>
                <c:pt idx="5">
                  <c:v>Образование </c:v>
                </c:pt>
                <c:pt idx="6">
                  <c:v>Культура и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 </c:v>
                </c:pt>
              </c:strCache>
            </c:strRef>
          </c:cat>
          <c:val>
            <c:numRef>
              <c:f>Лист1!$B$2:$B$13</c:f>
              <c:numCache>
                <c:formatCode>General</c:formatCode>
                <c:ptCount val="12"/>
                <c:pt idx="0">
                  <c:v>5.4</c:v>
                </c:pt>
                <c:pt idx="1">
                  <c:v>2.4</c:v>
                </c:pt>
                <c:pt idx="2">
                  <c:v>22.9</c:v>
                </c:pt>
                <c:pt idx="3">
                  <c:v>10.8</c:v>
                </c:pt>
                <c:pt idx="4">
                  <c:v>0.1</c:v>
                </c:pt>
                <c:pt idx="5">
                  <c:v>20.3</c:v>
                </c:pt>
                <c:pt idx="6">
                  <c:v>2.2000000000000002</c:v>
                </c:pt>
                <c:pt idx="7">
                  <c:v>10.3</c:v>
                </c:pt>
                <c:pt idx="8">
                  <c:v>23.2</c:v>
                </c:pt>
                <c:pt idx="9">
                  <c:v>0.7</c:v>
                </c:pt>
                <c:pt idx="10">
                  <c:v>0.2</c:v>
                </c:pt>
                <c:pt idx="11">
                  <c:v>1.5</c:v>
                </c:pt>
              </c:numCache>
            </c:numRef>
          </c:val>
        </c:ser>
        <c:dLbls>
          <c:showLegendKey val="0"/>
          <c:showVal val="0"/>
          <c:showCatName val="0"/>
          <c:showSerName val="0"/>
          <c:showPercent val="0"/>
          <c:showBubbleSize val="0"/>
          <c:showLeaderLines val="1"/>
        </c:dLbls>
      </c:pie3DChart>
      <c:spPr>
        <a:noFill/>
        <a:ln w="25400">
          <a:noFill/>
        </a:ln>
        <a:scene3d>
          <a:camera prst="orthographicFront"/>
          <a:lightRig rig="threePt" dir="t"/>
        </a:scene3d>
        <a:sp3d prstMaterial="clear"/>
      </c:spPr>
    </c:plotArea>
    <c:plotVisOnly val="1"/>
    <c:dispBlanksAs val="zero"/>
    <c:showDLblsOverMax val="0"/>
  </c:chart>
  <c:spPr>
    <a:no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0.11024</cdr:x>
      <cdr:y>0.02245</cdr:y>
    </cdr:from>
    <cdr:to>
      <cdr:x>0.90394</cdr:x>
      <cdr:y>0.03912</cdr:y>
    </cdr:to>
    <cdr:sp macro="" textlink="">
      <cdr:nvSpPr>
        <cdr:cNvPr id="2" name="TextBox 1"/>
        <cdr:cNvSpPr txBox="1"/>
      </cdr:nvSpPr>
      <cdr:spPr>
        <a:xfrm xmlns:a="http://schemas.openxmlformats.org/drawingml/2006/main" flipV="1">
          <a:off x="664673" y="61595"/>
          <a:ext cx="4785475"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261A-77CD-495D-95F2-70420F1F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7934</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2014-06-09T08:38:00Z</cp:lastPrinted>
  <dcterms:created xsi:type="dcterms:W3CDTF">2014-07-01T06:22:00Z</dcterms:created>
  <dcterms:modified xsi:type="dcterms:W3CDTF">2014-07-01T06:39:00Z</dcterms:modified>
</cp:coreProperties>
</file>